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Anexo 23</w:t>
      </w:r>
    </w:p>
    <w:p w:rsidR="00000000" w:rsidDel="00000000" w:rsidP="00000000" w:rsidRDefault="00000000" w:rsidRPr="00000000" w14:paraId="00000002">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Elaborado por: Paula Andrea Herrera, Maria Alejandra Boya, Andrés Felipe Tamayo y Andrés Felipe Carrillo.</w:t>
      </w:r>
    </w:p>
    <w:p w:rsidR="00000000" w:rsidDel="00000000" w:rsidP="00000000" w:rsidRDefault="00000000" w:rsidRPr="00000000" w14:paraId="00000003">
      <w:pP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04">
      <w:pPr>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sz w:val="20"/>
          <w:szCs w:val="20"/>
          <w:rtl w:val="0"/>
        </w:rPr>
        <w:t xml:space="preserve">N</w:t>
      </w:r>
      <w:r w:rsidDel="00000000" w:rsidR="00000000" w:rsidRPr="00000000">
        <w:rPr>
          <w:rFonts w:ascii="Times New Roman" w:cs="Times New Roman" w:eastAsia="Times New Roman" w:hAnsi="Times New Roman"/>
          <w:b w:val="1"/>
          <w:color w:val="000000"/>
          <w:sz w:val="20"/>
          <w:szCs w:val="20"/>
          <w:rtl w:val="0"/>
        </w:rPr>
        <w:t xml:space="preserve">ormas de manipulación del </w:t>
      </w:r>
      <w:r w:rsidDel="00000000" w:rsidR="00000000" w:rsidRPr="00000000">
        <w:rPr>
          <w:rFonts w:ascii="Times New Roman" w:cs="Times New Roman" w:eastAsia="Times New Roman" w:hAnsi="Times New Roman"/>
          <w:b w:val="1"/>
          <w:sz w:val="20"/>
          <w:szCs w:val="20"/>
          <w:rtl w:val="0"/>
        </w:rPr>
        <w:t xml:space="preserve">aguacate Hass</w:t>
      </w:r>
      <w:r w:rsidDel="00000000" w:rsidR="00000000" w:rsidRPr="00000000">
        <w:rPr>
          <w:rtl w:val="0"/>
        </w:rPr>
      </w:r>
    </w:p>
    <w:p w:rsidR="00000000" w:rsidDel="00000000" w:rsidP="00000000" w:rsidRDefault="00000000" w:rsidRPr="00000000" w14:paraId="00000005">
      <w:pPr>
        <w:jc w:val="center"/>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06">
      <w:pPr>
        <w:rPr>
          <w:rFonts w:ascii="Times New Roman" w:cs="Times New Roman" w:eastAsia="Times New Roman" w:hAnsi="Times New Roman"/>
          <w:b w:val="1"/>
          <w:i w:val="1"/>
          <w:color w:val="202124"/>
          <w:sz w:val="20"/>
          <w:szCs w:val="20"/>
        </w:rPr>
      </w:pPr>
      <w:r w:rsidDel="00000000" w:rsidR="00000000" w:rsidRPr="00000000">
        <w:rPr>
          <w:rFonts w:ascii="Times New Roman" w:cs="Times New Roman" w:eastAsia="Times New Roman" w:hAnsi="Times New Roman"/>
          <w:b w:val="1"/>
          <w:i w:val="1"/>
          <w:color w:val="202124"/>
          <w:sz w:val="20"/>
          <w:szCs w:val="20"/>
          <w:rtl w:val="0"/>
        </w:rPr>
        <w:t xml:space="preserve">Índice</w:t>
      </w:r>
    </w:p>
    <w:p w:rsidR="00000000" w:rsidDel="00000000" w:rsidP="00000000" w:rsidRDefault="00000000" w:rsidRPr="00000000" w14:paraId="00000007">
      <w:pPr>
        <w:numPr>
          <w:ilvl w:val="0"/>
          <w:numId w:val="5"/>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Introducción                                                                                                                                           1                                                                                                                                                            </w:t>
      </w:r>
    </w:p>
    <w:p w:rsidR="00000000" w:rsidDel="00000000" w:rsidP="00000000" w:rsidRDefault="00000000" w:rsidRPr="00000000" w14:paraId="00000008">
      <w:pPr>
        <w:numPr>
          <w:ilvl w:val="0"/>
          <w:numId w:val="5"/>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Objetivo                                                                                                                                                  1</w:t>
      </w:r>
    </w:p>
    <w:p w:rsidR="00000000" w:rsidDel="00000000" w:rsidP="00000000" w:rsidRDefault="00000000" w:rsidRPr="00000000" w14:paraId="00000009">
      <w:pPr>
        <w:numPr>
          <w:ilvl w:val="0"/>
          <w:numId w:val="5"/>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Alcance                                                                                                                                                   2</w:t>
      </w:r>
    </w:p>
    <w:p w:rsidR="00000000" w:rsidDel="00000000" w:rsidP="00000000" w:rsidRDefault="00000000" w:rsidRPr="00000000" w14:paraId="0000000A">
      <w:pPr>
        <w:numPr>
          <w:ilvl w:val="0"/>
          <w:numId w:val="5"/>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Recomendaciones Generales                                                                                                                  2</w:t>
      </w:r>
    </w:p>
    <w:p w:rsidR="00000000" w:rsidDel="00000000" w:rsidP="00000000" w:rsidRDefault="00000000" w:rsidRPr="00000000" w14:paraId="0000000B">
      <w:pPr>
        <w:numPr>
          <w:ilvl w:val="1"/>
          <w:numId w:val="5"/>
        </w:numPr>
        <w:spacing w:after="0" w:lineRule="auto"/>
        <w:ind w:left="144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Corte pedúnculo</w:t>
      </w:r>
    </w:p>
    <w:p w:rsidR="00000000" w:rsidDel="00000000" w:rsidP="00000000" w:rsidRDefault="00000000" w:rsidRPr="00000000" w14:paraId="0000000C">
      <w:pPr>
        <w:numPr>
          <w:ilvl w:val="1"/>
          <w:numId w:val="5"/>
        </w:numPr>
        <w:spacing w:after="0" w:lineRule="auto"/>
        <w:ind w:left="144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Inspección de daños superficiales </w:t>
      </w:r>
    </w:p>
    <w:p w:rsidR="00000000" w:rsidDel="00000000" w:rsidP="00000000" w:rsidRDefault="00000000" w:rsidRPr="00000000" w14:paraId="0000000D">
      <w:pPr>
        <w:numPr>
          <w:ilvl w:val="1"/>
          <w:numId w:val="5"/>
        </w:numPr>
        <w:spacing w:after="0" w:lineRule="auto"/>
        <w:ind w:left="144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¿Es apto para exportar?</w:t>
      </w:r>
    </w:p>
    <w:p w:rsidR="00000000" w:rsidDel="00000000" w:rsidP="00000000" w:rsidRDefault="00000000" w:rsidRPr="00000000" w14:paraId="0000000E">
      <w:pPr>
        <w:numPr>
          <w:ilvl w:val="1"/>
          <w:numId w:val="5"/>
        </w:numPr>
        <w:spacing w:after="0" w:lineRule="auto"/>
        <w:ind w:left="144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Transporte hacia la maquila</w:t>
      </w:r>
    </w:p>
    <w:p w:rsidR="00000000" w:rsidDel="00000000" w:rsidP="00000000" w:rsidRDefault="00000000" w:rsidRPr="00000000" w14:paraId="0000000F">
      <w:pPr>
        <w:numPr>
          <w:ilvl w:val="1"/>
          <w:numId w:val="5"/>
        </w:numPr>
        <w:spacing w:after="0" w:lineRule="auto"/>
        <w:ind w:left="144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Determinar peso de los aguacates</w:t>
      </w:r>
    </w:p>
    <w:p w:rsidR="00000000" w:rsidDel="00000000" w:rsidP="00000000" w:rsidRDefault="00000000" w:rsidRPr="00000000" w14:paraId="00000010">
      <w:pPr>
        <w:numPr>
          <w:ilvl w:val="1"/>
          <w:numId w:val="5"/>
        </w:numPr>
        <w:spacing w:after="0" w:lineRule="auto"/>
        <w:ind w:left="144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Inspección de calidad </w:t>
      </w:r>
    </w:p>
    <w:p w:rsidR="00000000" w:rsidDel="00000000" w:rsidP="00000000" w:rsidRDefault="00000000" w:rsidRPr="00000000" w14:paraId="00000011">
      <w:pPr>
        <w:numPr>
          <w:ilvl w:val="1"/>
          <w:numId w:val="5"/>
        </w:numPr>
        <w:spacing w:after="0" w:lineRule="auto"/>
        <w:ind w:left="144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Lavado de Suciedad-Desinfección</w:t>
      </w:r>
    </w:p>
    <w:p w:rsidR="00000000" w:rsidDel="00000000" w:rsidP="00000000" w:rsidRDefault="00000000" w:rsidRPr="00000000" w14:paraId="00000012">
      <w:pPr>
        <w:numPr>
          <w:ilvl w:val="1"/>
          <w:numId w:val="5"/>
        </w:numPr>
        <w:spacing w:after="0" w:lineRule="auto"/>
        <w:ind w:left="144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Inspección de residuos</w:t>
      </w:r>
    </w:p>
    <w:p w:rsidR="00000000" w:rsidDel="00000000" w:rsidP="00000000" w:rsidRDefault="00000000" w:rsidRPr="00000000" w14:paraId="00000013">
      <w:pPr>
        <w:numPr>
          <w:ilvl w:val="1"/>
          <w:numId w:val="5"/>
        </w:numPr>
        <w:spacing w:after="0" w:lineRule="auto"/>
        <w:ind w:left="144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Secado </w:t>
      </w:r>
    </w:p>
    <w:p w:rsidR="00000000" w:rsidDel="00000000" w:rsidP="00000000" w:rsidRDefault="00000000" w:rsidRPr="00000000" w14:paraId="00000014">
      <w:pPr>
        <w:numPr>
          <w:ilvl w:val="1"/>
          <w:numId w:val="5"/>
        </w:numPr>
        <w:spacing w:after="0" w:lineRule="auto"/>
        <w:ind w:left="144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Clasificación por calibre </w:t>
      </w:r>
    </w:p>
    <w:p w:rsidR="00000000" w:rsidDel="00000000" w:rsidP="00000000" w:rsidRDefault="00000000" w:rsidRPr="00000000" w14:paraId="00000015">
      <w:pPr>
        <w:numPr>
          <w:ilvl w:val="1"/>
          <w:numId w:val="5"/>
        </w:numPr>
        <w:spacing w:after="0" w:lineRule="auto"/>
        <w:ind w:left="144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Empaque en cajas</w:t>
      </w:r>
    </w:p>
    <w:p w:rsidR="00000000" w:rsidDel="00000000" w:rsidP="00000000" w:rsidRDefault="00000000" w:rsidRPr="00000000" w14:paraId="00000016">
      <w:pPr>
        <w:numPr>
          <w:ilvl w:val="1"/>
          <w:numId w:val="5"/>
        </w:numPr>
        <w:spacing w:after="0" w:lineRule="auto"/>
        <w:ind w:left="144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Almacenaje en cuarto frío </w:t>
      </w:r>
    </w:p>
    <w:p w:rsidR="00000000" w:rsidDel="00000000" w:rsidP="00000000" w:rsidRDefault="00000000" w:rsidRPr="00000000" w14:paraId="00000017">
      <w:pPr>
        <w:numPr>
          <w:ilvl w:val="0"/>
          <w:numId w:val="5"/>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Glosarios                                                                                                                                                 8</w:t>
      </w:r>
    </w:p>
    <w:p w:rsidR="00000000" w:rsidDel="00000000" w:rsidP="00000000" w:rsidRDefault="00000000" w:rsidRPr="00000000" w14:paraId="00000018">
      <w:pPr>
        <w:numPr>
          <w:ilvl w:val="0"/>
          <w:numId w:val="5"/>
        </w:numPr>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Referencias                                                                                                                                           10</w:t>
      </w:r>
    </w:p>
    <w:p w:rsidR="00000000" w:rsidDel="00000000" w:rsidP="00000000" w:rsidRDefault="00000000" w:rsidRPr="00000000" w14:paraId="00000019">
      <w:pPr>
        <w:rPr>
          <w:rFonts w:ascii="Times New Roman" w:cs="Times New Roman" w:eastAsia="Times New Roman" w:hAnsi="Times New Roman"/>
          <w:color w:val="ff0000"/>
          <w:sz w:val="20"/>
          <w:szCs w:val="20"/>
        </w:rPr>
      </w:pPr>
      <w:r w:rsidDel="00000000" w:rsidR="00000000" w:rsidRPr="00000000">
        <w:rPr>
          <w:rtl w:val="0"/>
        </w:rPr>
      </w:r>
    </w:p>
    <w:p w:rsidR="00000000" w:rsidDel="00000000" w:rsidP="00000000" w:rsidRDefault="00000000" w:rsidRPr="00000000" w14:paraId="0000001A">
      <w:pPr>
        <w:jc w:val="center"/>
        <w:rPr>
          <w:rFonts w:ascii="Times New Roman" w:cs="Times New Roman" w:eastAsia="Times New Roman" w:hAnsi="Times New Roman"/>
          <w:b w:val="1"/>
          <w:color w:val="202124"/>
          <w:sz w:val="20"/>
          <w:szCs w:val="20"/>
        </w:rPr>
      </w:pPr>
      <w:r w:rsidDel="00000000" w:rsidR="00000000" w:rsidRPr="00000000">
        <w:rPr>
          <w:rFonts w:ascii="Times New Roman" w:cs="Times New Roman" w:eastAsia="Times New Roman" w:hAnsi="Times New Roman"/>
          <w:b w:val="1"/>
          <w:color w:val="202124"/>
          <w:sz w:val="20"/>
          <w:szCs w:val="20"/>
          <w:rtl w:val="0"/>
        </w:rPr>
        <w:t xml:space="preserve">Introducción</w:t>
      </w:r>
    </w:p>
    <w:p w:rsidR="00000000" w:rsidDel="00000000" w:rsidP="00000000" w:rsidRDefault="00000000" w:rsidRPr="00000000" w14:paraId="0000001B">
      <w:pPr>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El aguacate </w:t>
      </w:r>
      <w:r w:rsidDel="00000000" w:rsidR="00000000" w:rsidRPr="00000000">
        <w:rPr>
          <w:rFonts w:ascii="Times New Roman" w:cs="Times New Roman" w:eastAsia="Times New Roman" w:hAnsi="Times New Roman"/>
          <w:i w:val="1"/>
          <w:color w:val="202124"/>
          <w:sz w:val="20"/>
          <w:szCs w:val="20"/>
          <w:rtl w:val="0"/>
        </w:rPr>
        <w:t xml:space="preserve">Hass</w:t>
      </w:r>
      <w:r w:rsidDel="00000000" w:rsidR="00000000" w:rsidRPr="00000000">
        <w:rPr>
          <w:rFonts w:ascii="Times New Roman" w:cs="Times New Roman" w:eastAsia="Times New Roman" w:hAnsi="Times New Roman"/>
          <w:color w:val="202124"/>
          <w:sz w:val="20"/>
          <w:szCs w:val="20"/>
          <w:rtl w:val="0"/>
        </w:rPr>
        <w:t xml:space="preserve"> actualmente ocupa el tercer lugar en importancia del sector frutícola nacional, es una fruta que cuenta con alta demanda debido a su sabor y múltiples usos, tanto en la industria alimenticia, como en la cosmética y farmacéutica, sin contar con sus cualidades nutracéuticas. Debido a esto, es fundamental la alta calidad del aguacate y su conservación en el proceso de exportación. </w:t>
      </w:r>
    </w:p>
    <w:p w:rsidR="00000000" w:rsidDel="00000000" w:rsidP="00000000" w:rsidRDefault="00000000" w:rsidRPr="00000000" w14:paraId="0000001C">
      <w:pPr>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Las fincas y la organización ASCAFÉ son responsables del manejo de la fruta al realizar todo el desarrollo de cosecha y de las personas que puedan verse afectadas por sus actividades. La adopción de normas de manipulación del aguacate tiene como objetivo gestionar la calidad en la producción de los aguacates estableciendo el correcto manejo del fruto en condiciones higiénicas y libres de riesgos de calidad.</w:t>
      </w:r>
    </w:p>
    <w:p w:rsidR="00000000" w:rsidDel="00000000" w:rsidP="00000000" w:rsidRDefault="00000000" w:rsidRPr="00000000" w14:paraId="0000001D">
      <w:pPr>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Con el propósito de suministrar una herramienta práctica de consulta a los productores, se elaboró el presente manual que contiene indicaciones básicas respecto al manejo adecuado del aguacate, lo que les permitirá asegurar la aceptabilidad del fruto sano e inocuo para el consumo humano, protegiendo además el medio ambiente y la salud de los trabajadores, además de reducir la cantidad de aguacates en mal estado.</w:t>
      </w:r>
    </w:p>
    <w:p w:rsidR="00000000" w:rsidDel="00000000" w:rsidP="00000000" w:rsidRDefault="00000000" w:rsidRPr="00000000" w14:paraId="0000001E">
      <w:pPr>
        <w:rPr>
          <w:rFonts w:ascii="Times New Roman" w:cs="Times New Roman" w:eastAsia="Times New Roman" w:hAnsi="Times New Roman"/>
          <w:color w:val="202124"/>
          <w:sz w:val="20"/>
          <w:szCs w:val="20"/>
        </w:rPr>
      </w:pPr>
      <w:r w:rsidDel="00000000" w:rsidR="00000000" w:rsidRPr="00000000">
        <w:rPr>
          <w:rtl w:val="0"/>
        </w:rPr>
      </w:r>
    </w:p>
    <w:p w:rsidR="00000000" w:rsidDel="00000000" w:rsidP="00000000" w:rsidRDefault="00000000" w:rsidRPr="00000000" w14:paraId="0000001F">
      <w:pPr>
        <w:jc w:val="center"/>
        <w:rPr>
          <w:rFonts w:ascii="Times New Roman" w:cs="Times New Roman" w:eastAsia="Times New Roman" w:hAnsi="Times New Roman"/>
          <w:b w:val="1"/>
          <w:color w:val="202124"/>
          <w:sz w:val="20"/>
          <w:szCs w:val="20"/>
        </w:rPr>
      </w:pPr>
      <w:r w:rsidDel="00000000" w:rsidR="00000000" w:rsidRPr="00000000">
        <w:rPr>
          <w:rFonts w:ascii="Times New Roman" w:cs="Times New Roman" w:eastAsia="Times New Roman" w:hAnsi="Times New Roman"/>
          <w:b w:val="1"/>
          <w:color w:val="202124"/>
          <w:sz w:val="20"/>
          <w:szCs w:val="20"/>
          <w:rtl w:val="0"/>
        </w:rPr>
        <w:t xml:space="preserve">Objetivo </w:t>
      </w:r>
    </w:p>
    <w:p w:rsidR="00000000" w:rsidDel="00000000" w:rsidP="00000000" w:rsidRDefault="00000000" w:rsidRPr="00000000" w14:paraId="00000020">
      <w:pPr>
        <w:pBdr>
          <w:top w:space="0" w:sz="0" w:val="nil"/>
          <w:left w:space="0" w:sz="0" w:val="nil"/>
          <w:bottom w:space="0" w:sz="0" w:val="nil"/>
          <w:right w:space="0" w:sz="0" w:val="nil"/>
          <w:between w:space="0" w:sz="0" w:val="nil"/>
        </w:pBdr>
        <w:rPr>
          <w:rFonts w:ascii="Times New Roman" w:cs="Times New Roman" w:eastAsia="Times New Roman" w:hAnsi="Times New Roman"/>
          <w:b w:val="1"/>
          <w:color w:val="ff0000"/>
          <w:sz w:val="20"/>
          <w:szCs w:val="20"/>
        </w:rPr>
      </w:pPr>
      <w:r w:rsidDel="00000000" w:rsidR="00000000" w:rsidRPr="00000000">
        <w:rPr>
          <w:rFonts w:ascii="Times New Roman" w:cs="Times New Roman" w:eastAsia="Times New Roman" w:hAnsi="Times New Roman"/>
          <w:color w:val="202124"/>
          <w:sz w:val="20"/>
          <w:szCs w:val="20"/>
          <w:rtl w:val="0"/>
        </w:rPr>
        <w:t xml:space="preserve">Con la implementación de las siguientes normas presentadas, se tiene como finalidad mejorar la manera en la que es manipulado el aguacate </w:t>
      </w:r>
      <w:r w:rsidDel="00000000" w:rsidR="00000000" w:rsidRPr="00000000">
        <w:rPr>
          <w:rFonts w:ascii="Times New Roman" w:cs="Times New Roman" w:eastAsia="Times New Roman" w:hAnsi="Times New Roman"/>
          <w:i w:val="1"/>
          <w:color w:val="202124"/>
          <w:sz w:val="20"/>
          <w:szCs w:val="20"/>
          <w:rtl w:val="0"/>
        </w:rPr>
        <w:t xml:space="preserve">Hass</w:t>
      </w:r>
      <w:r w:rsidDel="00000000" w:rsidR="00000000" w:rsidRPr="00000000">
        <w:rPr>
          <w:rFonts w:ascii="Times New Roman" w:cs="Times New Roman" w:eastAsia="Times New Roman" w:hAnsi="Times New Roman"/>
          <w:color w:val="202124"/>
          <w:sz w:val="20"/>
          <w:szCs w:val="20"/>
          <w:rtl w:val="0"/>
        </w:rPr>
        <w:t xml:space="preserve"> desde su cosecha hasta su expor</w:t>
      </w:r>
      <w:r w:rsidDel="00000000" w:rsidR="00000000" w:rsidRPr="00000000">
        <w:rPr>
          <w:rFonts w:ascii="Times New Roman" w:cs="Times New Roman" w:eastAsia="Times New Roman" w:hAnsi="Times New Roman"/>
          <w:sz w:val="20"/>
          <w:szCs w:val="20"/>
          <w:rtl w:val="0"/>
        </w:rPr>
        <w:t xml:space="preserve">tación.</w:t>
      </w:r>
      <w:r w:rsidDel="00000000" w:rsidR="00000000" w:rsidRPr="00000000">
        <w:rPr>
          <w:rtl w:val="0"/>
        </w:rPr>
      </w:r>
    </w:p>
    <w:p w:rsidR="00000000" w:rsidDel="00000000" w:rsidP="00000000" w:rsidRDefault="00000000" w:rsidRPr="00000000" w14:paraId="00000021">
      <w:pPr>
        <w:jc w:val="center"/>
        <w:rPr>
          <w:rFonts w:ascii="Times New Roman" w:cs="Times New Roman" w:eastAsia="Times New Roman" w:hAnsi="Times New Roman"/>
          <w:b w:val="1"/>
          <w:color w:val="202124"/>
          <w:sz w:val="20"/>
          <w:szCs w:val="20"/>
        </w:rPr>
      </w:pPr>
      <w:r w:rsidDel="00000000" w:rsidR="00000000" w:rsidRPr="00000000">
        <w:rPr>
          <w:rFonts w:ascii="Times New Roman" w:cs="Times New Roman" w:eastAsia="Times New Roman" w:hAnsi="Times New Roman"/>
          <w:b w:val="1"/>
          <w:color w:val="202124"/>
          <w:sz w:val="20"/>
          <w:szCs w:val="20"/>
          <w:rtl w:val="0"/>
        </w:rPr>
        <w:t xml:space="preserve">Alcance </w:t>
      </w:r>
    </w:p>
    <w:p w:rsidR="00000000" w:rsidDel="00000000" w:rsidP="00000000" w:rsidRDefault="00000000" w:rsidRPr="00000000" w14:paraId="00000022">
      <w:pPr>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Proporcionar criterios fundamentales para la manipulación, selección y el control de la calidad del aguacate </w:t>
      </w:r>
      <w:r w:rsidDel="00000000" w:rsidR="00000000" w:rsidRPr="00000000">
        <w:rPr>
          <w:rFonts w:ascii="Times New Roman" w:cs="Times New Roman" w:eastAsia="Times New Roman" w:hAnsi="Times New Roman"/>
          <w:i w:val="1"/>
          <w:sz w:val="20"/>
          <w:szCs w:val="20"/>
          <w:rtl w:val="0"/>
        </w:rPr>
        <w:t xml:space="preserve">Hass</w:t>
      </w:r>
      <w:r w:rsidDel="00000000" w:rsidR="00000000" w:rsidRPr="00000000">
        <w:rPr>
          <w:rFonts w:ascii="Times New Roman" w:cs="Times New Roman" w:eastAsia="Times New Roman" w:hAnsi="Times New Roman"/>
          <w:sz w:val="20"/>
          <w:szCs w:val="20"/>
          <w:rtl w:val="0"/>
        </w:rPr>
        <w:t xml:space="preserve">, mediante la implementación de procedimientos e indicaciones establecidos, que permitan desarrollar correctamente la operación integral del proceso de recolección y post cosecha del fruto. De esta forma, los operarios pueden tener una guía sobre cómo manipular el fruto con el propósito de alargar su vida útil y mantener sus condiciones de exportación en excelente calidad.</w:t>
      </w:r>
    </w:p>
    <w:p w:rsidR="00000000" w:rsidDel="00000000" w:rsidP="00000000" w:rsidRDefault="00000000" w:rsidRPr="00000000" w14:paraId="00000023">
      <w:pPr>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Por otro lado, esta línea de producción se ejecutó recientemente, y el poder componer un manual que les permita mantener la calidad de los frutos representará un valor significativo en la reducción de pérdidas por los aguacates en mal estado; y con esto, más beneficios para el gremio de la empresa ASCAFÉ.</w:t>
      </w:r>
    </w:p>
    <w:p w:rsidR="00000000" w:rsidDel="00000000" w:rsidP="00000000" w:rsidRDefault="00000000" w:rsidRPr="00000000" w14:paraId="00000024">
      <w:pPr>
        <w:jc w:val="center"/>
        <w:rPr>
          <w:rFonts w:ascii="Times New Roman" w:cs="Times New Roman" w:eastAsia="Times New Roman" w:hAnsi="Times New Roman"/>
          <w:b w:val="1"/>
          <w:color w:val="ff0000"/>
          <w:sz w:val="20"/>
          <w:szCs w:val="20"/>
        </w:rPr>
      </w:pPr>
      <w:r w:rsidDel="00000000" w:rsidR="00000000" w:rsidRPr="00000000">
        <w:rPr>
          <w:rtl w:val="0"/>
        </w:rPr>
      </w:r>
    </w:p>
    <w:p w:rsidR="00000000" w:rsidDel="00000000" w:rsidP="00000000" w:rsidRDefault="00000000" w:rsidRPr="00000000" w14:paraId="00000025">
      <w:pPr>
        <w:jc w:val="center"/>
        <w:rPr>
          <w:rFonts w:ascii="Times New Roman" w:cs="Times New Roman" w:eastAsia="Times New Roman" w:hAnsi="Times New Roman"/>
          <w:b w:val="1"/>
          <w:i w:val="1"/>
          <w:sz w:val="20"/>
          <w:szCs w:val="20"/>
        </w:rPr>
      </w:pPr>
      <w:r w:rsidDel="00000000" w:rsidR="00000000" w:rsidRPr="00000000">
        <w:rPr>
          <w:rFonts w:ascii="Times New Roman" w:cs="Times New Roman" w:eastAsia="Times New Roman" w:hAnsi="Times New Roman"/>
          <w:b w:val="1"/>
          <w:color w:val="202124"/>
          <w:sz w:val="20"/>
          <w:szCs w:val="20"/>
          <w:rtl w:val="0"/>
        </w:rPr>
        <w:t xml:space="preserve">Recomendaciones generales</w:t>
      </w:r>
      <w:r w:rsidDel="00000000" w:rsidR="00000000" w:rsidRPr="00000000">
        <w:rPr>
          <w:rtl w:val="0"/>
        </w:rPr>
      </w:r>
    </w:p>
    <w:p w:rsidR="00000000" w:rsidDel="00000000" w:rsidP="00000000" w:rsidRDefault="00000000" w:rsidRPr="00000000" w14:paraId="00000026">
      <w:pPr>
        <w:numPr>
          <w:ilvl w:val="0"/>
          <w:numId w:val="1"/>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Herramientas: Estas deben estar en buen estado, limpias y desinfectadas. Durante el proceso es bueno desinfectarlas cada vez que se cambia de una planta a otra.</w:t>
      </w:r>
    </w:p>
    <w:p w:rsidR="00000000" w:rsidDel="00000000" w:rsidP="00000000" w:rsidRDefault="00000000" w:rsidRPr="00000000" w14:paraId="00000027">
      <w:pPr>
        <w:numPr>
          <w:ilvl w:val="0"/>
          <w:numId w:val="1"/>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Canastillas: Tienen que estar en buen estado, limpias y se deben utilizar exclusivamente para la cosecha, además de ser guardadas en un lugar destinado para tal fin.</w:t>
      </w:r>
    </w:p>
    <w:p w:rsidR="00000000" w:rsidDel="00000000" w:rsidP="00000000" w:rsidRDefault="00000000" w:rsidRPr="00000000" w14:paraId="00000028">
      <w:pPr>
        <w:numPr>
          <w:ilvl w:val="0"/>
          <w:numId w:val="1"/>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Personal que realiza la cosecha: se sugiere que esté capacitado en la labor. Toda persona que labore en recolección y manipulación de frutas, debe mantener los hábitos de higiene personal y de vestimenta de acuerdo a las recomendaciones del Ministerio de Salud, para la manipulación de alimentos. </w:t>
      </w:r>
    </w:p>
    <w:p w:rsidR="00000000" w:rsidDel="00000000" w:rsidP="00000000" w:rsidRDefault="00000000" w:rsidRPr="00000000" w14:paraId="00000029">
      <w:pPr>
        <w:numPr>
          <w:ilvl w:val="0"/>
          <w:numId w:val="1"/>
        </w:numPr>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Cuidado de los frutos: No exponerse directamente al sol por un tiempo prolongado y en lo posible no cosechar cuando esté lloviendo. Evitar daños mecánicos que puedan afectar la calidad del fruto (cortes y golpes).</w:t>
      </w:r>
    </w:p>
    <w:p w:rsidR="00000000" w:rsidDel="00000000" w:rsidP="00000000" w:rsidRDefault="00000000" w:rsidRPr="00000000" w14:paraId="0000002A">
      <w:pPr>
        <w:ind w:left="720" w:firstLine="0"/>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2B">
      <w:pPr>
        <w:numPr>
          <w:ilvl w:val="0"/>
          <w:numId w:val="7"/>
        </w:numPr>
        <w:spacing w:after="240" w:before="240" w:lineRule="auto"/>
        <w:ind w:left="720" w:hanging="360"/>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Corte de pedúnculo</w:t>
      </w:r>
    </w:p>
    <w:p w:rsidR="00000000" w:rsidDel="00000000" w:rsidP="00000000" w:rsidRDefault="00000000" w:rsidRPr="00000000" w14:paraId="0000002C">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2594866" cy="1695767"/>
            <wp:effectExtent b="0" l="0" r="0" t="0"/>
            <wp:docPr id="19" name="image7.png"/>
            <a:graphic>
              <a:graphicData uri="http://schemas.openxmlformats.org/drawingml/2006/picture">
                <pic:pic>
                  <pic:nvPicPr>
                    <pic:cNvPr id="0" name="image7.png"/>
                    <pic:cNvPicPr preferRelativeResize="0"/>
                  </pic:nvPicPr>
                  <pic:blipFill>
                    <a:blip r:embed="rId7"/>
                    <a:srcRect b="37706" l="52520" r="20675" t="31340"/>
                    <a:stretch>
                      <a:fillRect/>
                    </a:stretch>
                  </pic:blipFill>
                  <pic:spPr>
                    <a:xfrm>
                      <a:off x="0" y="0"/>
                      <a:ext cx="2594866" cy="1695767"/>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i w:val="1"/>
          <w:sz w:val="20"/>
          <w:szCs w:val="20"/>
          <w:rtl w:val="0"/>
        </w:rPr>
        <w:t xml:space="preserve">Figura 1. Corte de pedúnculo</w:t>
      </w:r>
      <w:r w:rsidDel="00000000" w:rsidR="00000000" w:rsidRPr="00000000">
        <w:rPr>
          <w:rtl w:val="0"/>
        </w:rPr>
      </w:r>
    </w:p>
    <w:p w:rsidR="00000000" w:rsidDel="00000000" w:rsidP="00000000" w:rsidRDefault="00000000" w:rsidRPr="00000000" w14:paraId="0000002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Aspectos a tener en cuenta al momento de realizar el proceso: </w:t>
      </w:r>
    </w:p>
    <w:p w:rsidR="00000000" w:rsidDel="00000000" w:rsidP="00000000" w:rsidRDefault="00000000" w:rsidRPr="00000000" w14:paraId="0000002F">
      <w:pPr>
        <w:numPr>
          <w:ilvl w:val="0"/>
          <w:numId w:val="3"/>
        </w:numPr>
        <w:spacing w:after="0" w:before="24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Se deben desinfectar herramientas y utensilios de recolección</w:t>
      </w:r>
    </w:p>
    <w:p w:rsidR="00000000" w:rsidDel="00000000" w:rsidP="00000000" w:rsidRDefault="00000000" w:rsidRPr="00000000" w14:paraId="00000030">
      <w:pPr>
        <w:numPr>
          <w:ilvl w:val="0"/>
          <w:numId w:val="3"/>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Únicamente se deben cosechar frutos que hayan alcanzado su madurez fisiológica (Los aguacates que se encuentran con un valor de 26±2% de materia seca)</w:t>
      </w:r>
    </w:p>
    <w:p w:rsidR="00000000" w:rsidDel="00000000" w:rsidP="00000000" w:rsidRDefault="00000000" w:rsidRPr="00000000" w14:paraId="00000031">
      <w:pPr>
        <w:numPr>
          <w:ilvl w:val="0"/>
          <w:numId w:val="3"/>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Arrancar el fruto sin el pedúnculo, acelera el proceso de deterioro y aumenta la susceptibilidad a daños por microorganismos. Por tanto, se debe realizar corte con las herramientas previamente desinfectadas dejando de 5 a 7 mm de pedúnculo en el fruto en las operaciones poscosecha.</w:t>
      </w:r>
    </w:p>
    <w:p w:rsidR="00000000" w:rsidDel="00000000" w:rsidP="00000000" w:rsidRDefault="00000000" w:rsidRPr="00000000" w14:paraId="00000032">
      <w:pPr>
        <w:numPr>
          <w:ilvl w:val="0"/>
          <w:numId w:val="3"/>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NO lanzar, golpear o lastimar los aguacates durante la recolección, en el momento de reenvasar del recipiente recolector a la canastilla, ni transportar los aguacates en fibras para no generar daños en las lenticelas.</w:t>
      </w:r>
    </w:p>
    <w:p w:rsidR="00000000" w:rsidDel="00000000" w:rsidP="00000000" w:rsidRDefault="00000000" w:rsidRPr="00000000" w14:paraId="00000033">
      <w:pPr>
        <w:numPr>
          <w:ilvl w:val="0"/>
          <w:numId w:val="3"/>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Los frutos a menos de 2 m de altura deben cortarse con tijeras. Los frutos a más de 2 m de altura se deben recolectar con la ayuda de herramientas para recolección. </w:t>
      </w:r>
    </w:p>
    <w:p w:rsidR="00000000" w:rsidDel="00000000" w:rsidP="00000000" w:rsidRDefault="00000000" w:rsidRPr="00000000" w14:paraId="00000034">
      <w:pPr>
        <w:numPr>
          <w:ilvl w:val="0"/>
          <w:numId w:val="3"/>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Los frutos no deben estar en contacto con el suelo en ningún momento y se debe manipular con cuidado para causar el menor daño posible.</w:t>
      </w:r>
    </w:p>
    <w:p w:rsidR="00000000" w:rsidDel="00000000" w:rsidP="00000000" w:rsidRDefault="00000000" w:rsidRPr="00000000" w14:paraId="00000035">
      <w:pPr>
        <w:numPr>
          <w:ilvl w:val="0"/>
          <w:numId w:val="3"/>
        </w:numPr>
        <w:spacing w:after="24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Para efectos de mantener la trazabilidad, se deben marcar las cajas o grupos de frutos de acuerdo con el lote del cual proceden.</w:t>
      </w:r>
    </w:p>
    <w:p w:rsidR="00000000" w:rsidDel="00000000" w:rsidP="00000000" w:rsidRDefault="00000000" w:rsidRPr="00000000" w14:paraId="00000036">
      <w:pPr>
        <w:numPr>
          <w:ilvl w:val="0"/>
          <w:numId w:val="7"/>
        </w:numPr>
        <w:ind w:left="720" w:hanging="360"/>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Inspección de daños superficiales</w:t>
      </w:r>
    </w:p>
    <w:p w:rsidR="00000000" w:rsidDel="00000000" w:rsidP="00000000" w:rsidRDefault="00000000" w:rsidRPr="00000000" w14:paraId="00000037">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Se recomienda realizar constante inspección del cultivo para verificar que se encuentre libre de daños y/o enfermedades, en caso contrario, clasificar en terceras o realizar adecuada disposición de los frutos dañados y manejo cultural y/o agroecológico para evitar propagación.</w:t>
      </w:r>
    </w:p>
    <w:p w:rsidR="00000000" w:rsidDel="00000000" w:rsidP="00000000" w:rsidRDefault="00000000" w:rsidRPr="00000000" w14:paraId="00000038">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Los aguacates que se seleccionan son los que se encuentren libres de daños y enfermedades ocasionados por hongos, como los que se presentarán a continuación y en la tabla de inspección de daños:</w:t>
      </w:r>
    </w:p>
    <w:p w:rsidR="00000000" w:rsidDel="00000000" w:rsidP="00000000" w:rsidRDefault="00000000" w:rsidRPr="00000000" w14:paraId="00000039">
      <w:pPr>
        <w:numPr>
          <w:ilvl w:val="0"/>
          <w:numId w:val="4"/>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Manchas circulares de color café, negro claro o en determinado caso color salmón hundidas en el centro (roña o antracnosis).</w:t>
      </w:r>
    </w:p>
    <w:p w:rsidR="00000000" w:rsidDel="00000000" w:rsidP="00000000" w:rsidRDefault="00000000" w:rsidRPr="00000000" w14:paraId="0000003A">
      <w:pPr>
        <w:numPr>
          <w:ilvl w:val="0"/>
          <w:numId w:val="4"/>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Deterioro en la cáscara.</w:t>
      </w:r>
    </w:p>
    <w:p w:rsidR="00000000" w:rsidDel="00000000" w:rsidP="00000000" w:rsidRDefault="00000000" w:rsidRPr="00000000" w14:paraId="0000003B">
      <w:pPr>
        <w:numPr>
          <w:ilvl w:val="0"/>
          <w:numId w:val="4"/>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Pudrición del pedúnculo.</w:t>
      </w:r>
    </w:p>
    <w:p w:rsidR="00000000" w:rsidDel="00000000" w:rsidP="00000000" w:rsidRDefault="00000000" w:rsidRPr="00000000" w14:paraId="0000003C">
      <w:pPr>
        <w:numPr>
          <w:ilvl w:val="0"/>
          <w:numId w:val="4"/>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Ablandamiento.</w:t>
      </w:r>
    </w:p>
    <w:p w:rsidR="00000000" w:rsidDel="00000000" w:rsidP="00000000" w:rsidRDefault="00000000" w:rsidRPr="00000000" w14:paraId="0000003D">
      <w:pPr>
        <w:numPr>
          <w:ilvl w:val="0"/>
          <w:numId w:val="4"/>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Aparición de micelio blanco.</w:t>
      </w:r>
    </w:p>
    <w:p w:rsidR="00000000" w:rsidDel="00000000" w:rsidP="00000000" w:rsidRDefault="00000000" w:rsidRPr="00000000" w14:paraId="0000003E">
      <w:pPr>
        <w:numPr>
          <w:ilvl w:val="0"/>
          <w:numId w:val="4"/>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Deformaciones.</w:t>
      </w:r>
    </w:p>
    <w:p w:rsidR="00000000" w:rsidDel="00000000" w:rsidP="00000000" w:rsidRDefault="00000000" w:rsidRPr="00000000" w14:paraId="0000003F">
      <w:pPr>
        <w:numPr>
          <w:ilvl w:val="0"/>
          <w:numId w:val="4"/>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Larvas.</w:t>
      </w:r>
    </w:p>
    <w:p w:rsidR="00000000" w:rsidDel="00000000" w:rsidP="00000000" w:rsidRDefault="00000000" w:rsidRPr="00000000" w14:paraId="00000040">
      <w:pPr>
        <w:numPr>
          <w:ilvl w:val="0"/>
          <w:numId w:val="4"/>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Daños por insectos (manchas, mordeduras, chupones, trips).</w:t>
      </w:r>
    </w:p>
    <w:p w:rsidR="00000000" w:rsidDel="00000000" w:rsidP="00000000" w:rsidRDefault="00000000" w:rsidRPr="00000000" w14:paraId="00000041">
      <w:pPr>
        <w:numPr>
          <w:ilvl w:val="0"/>
          <w:numId w:val="4"/>
        </w:numPr>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Arrugas.</w:t>
      </w:r>
    </w:p>
    <w:p w:rsidR="00000000" w:rsidDel="00000000" w:rsidP="00000000" w:rsidRDefault="00000000" w:rsidRPr="00000000" w14:paraId="00000042">
      <w:pPr>
        <w:ind w:left="720" w:firstLine="0"/>
        <w:rPr>
          <w:rFonts w:ascii="Times New Roman" w:cs="Times New Roman" w:eastAsia="Times New Roman" w:hAnsi="Times New Roman"/>
          <w:sz w:val="20"/>
          <w:szCs w:val="20"/>
        </w:rPr>
      </w:pPr>
      <w:r w:rsidDel="00000000" w:rsidR="00000000" w:rsidRPr="00000000">
        <w:rPr>
          <w:rtl w:val="0"/>
        </w:rPr>
      </w:r>
    </w:p>
    <w:tbl>
      <w:tblPr>
        <w:tblStyle w:val="Table1"/>
        <w:tblW w:w="8835.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35"/>
        <w:gridCol w:w="1710"/>
        <w:gridCol w:w="1845"/>
        <w:gridCol w:w="1770"/>
        <w:gridCol w:w="1875"/>
        <w:tblGridChange w:id="0">
          <w:tblGrid>
            <w:gridCol w:w="1635"/>
            <w:gridCol w:w="1710"/>
            <w:gridCol w:w="1845"/>
            <w:gridCol w:w="1770"/>
            <w:gridCol w:w="1875"/>
          </w:tblGrid>
        </w:tblGridChange>
      </w:tblGrid>
      <w:tr>
        <w:trPr>
          <w:cantSplit w:val="0"/>
          <w:trHeight w:val="453" w:hRule="atLeast"/>
          <w:tblHeader w:val="0"/>
        </w:trPr>
        <w:tc>
          <w:tcPr>
            <w:gridSpan w:val="5"/>
            <w:shd w:fill="auto" w:val="clear"/>
            <w:tcMar>
              <w:top w:w="100.0" w:type="dxa"/>
              <w:left w:w="100.0" w:type="dxa"/>
              <w:bottom w:w="100.0" w:type="dxa"/>
              <w:right w:w="100.0" w:type="dxa"/>
            </w:tcMar>
          </w:tcPr>
          <w:p w:rsidR="00000000" w:rsidDel="00000000" w:rsidP="00000000" w:rsidRDefault="00000000" w:rsidRPr="00000000" w14:paraId="00000043">
            <w:pPr>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sz w:val="20"/>
                <w:szCs w:val="20"/>
                <w:rtl w:val="0"/>
              </w:rPr>
              <w:t xml:space="preserve">Inspección de daños</w:t>
            </w:r>
            <w:r w:rsidDel="00000000" w:rsidR="00000000" w:rsidRPr="00000000">
              <w:rPr>
                <w:rtl w:val="0"/>
              </w:rPr>
            </w:r>
          </w:p>
        </w:tc>
      </w:tr>
      <w:tr>
        <w:trPr>
          <w:cantSplit w:val="0"/>
          <w:trHeight w:val="659" w:hRule="atLeast"/>
          <w:tblHeader w:val="0"/>
        </w:trPr>
        <w:tc>
          <w:tcPr>
            <w:gridSpan w:val="2"/>
            <w:shd w:fill="auto" w:val="clear"/>
            <w:tcMar>
              <w:top w:w="100.0" w:type="dxa"/>
              <w:left w:w="100.0" w:type="dxa"/>
              <w:bottom w:w="100.0" w:type="dxa"/>
              <w:right w:w="100.0" w:type="dxa"/>
            </w:tcMar>
          </w:tcPr>
          <w:p w:rsidR="00000000" w:rsidDel="00000000" w:rsidP="00000000" w:rsidRDefault="00000000" w:rsidRPr="00000000" w14:paraId="00000048">
            <w:pPr>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Daños por plagas</w:t>
            </w:r>
          </w:p>
        </w:tc>
        <w:tc>
          <w:tcPr>
            <w:gridSpan w:val="2"/>
            <w:shd w:fill="auto" w:val="clear"/>
            <w:tcMar>
              <w:top w:w="100.0" w:type="dxa"/>
              <w:left w:w="100.0" w:type="dxa"/>
              <w:bottom w:w="100.0" w:type="dxa"/>
              <w:right w:w="100.0" w:type="dxa"/>
            </w:tcMar>
          </w:tcPr>
          <w:p w:rsidR="00000000" w:rsidDel="00000000" w:rsidP="00000000" w:rsidRDefault="00000000" w:rsidRPr="00000000" w14:paraId="0000004A">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Daño por enfermedades</w:t>
            </w:r>
          </w:p>
          <w:p w:rsidR="00000000" w:rsidDel="00000000" w:rsidP="00000000" w:rsidRDefault="00000000" w:rsidRPr="00000000" w14:paraId="0000004B">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por hongos</w:t>
            </w:r>
          </w:p>
        </w:tc>
        <w:tc>
          <w:tcPr>
            <w:shd w:fill="auto" w:val="clear"/>
            <w:tcMar>
              <w:top w:w="100.0" w:type="dxa"/>
              <w:left w:w="100.0" w:type="dxa"/>
              <w:bottom w:w="100.0" w:type="dxa"/>
              <w:right w:w="100.0" w:type="dxa"/>
            </w:tcMar>
          </w:tcPr>
          <w:p w:rsidR="00000000" w:rsidDel="00000000" w:rsidP="00000000" w:rsidRDefault="00000000" w:rsidRPr="00000000" w14:paraId="0000004D">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Daño</w:t>
            </w:r>
          </w:p>
          <w:p w:rsidR="00000000" w:rsidDel="00000000" w:rsidP="00000000" w:rsidRDefault="00000000" w:rsidRPr="00000000" w14:paraId="0000004E">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mecánico</w:t>
            </w:r>
          </w:p>
        </w:tc>
      </w:tr>
      <w:tr>
        <w:trPr>
          <w:cantSplit w:val="0"/>
          <w:trHeight w:val="829"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04F">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Gusano</w:t>
            </w:r>
          </w:p>
        </w:tc>
        <w:tc>
          <w:tcPr>
            <w:shd w:fill="auto" w:val="clear"/>
            <w:tcMar>
              <w:top w:w="100.0" w:type="dxa"/>
              <w:left w:w="100.0" w:type="dxa"/>
              <w:bottom w:w="100.0" w:type="dxa"/>
              <w:right w:w="100.0" w:type="dxa"/>
            </w:tcMar>
          </w:tcPr>
          <w:p w:rsidR="00000000" w:rsidDel="00000000" w:rsidP="00000000" w:rsidRDefault="00000000" w:rsidRPr="00000000" w14:paraId="00000050">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Trips</w:t>
            </w:r>
          </w:p>
        </w:tc>
        <w:tc>
          <w:tcPr>
            <w:shd w:fill="auto" w:val="clear"/>
            <w:tcMar>
              <w:top w:w="100.0" w:type="dxa"/>
              <w:left w:w="100.0" w:type="dxa"/>
              <w:bottom w:w="100.0" w:type="dxa"/>
              <w:right w:w="100.0" w:type="dxa"/>
            </w:tcMar>
          </w:tcPr>
          <w:p w:rsidR="00000000" w:rsidDel="00000000" w:rsidP="00000000" w:rsidRDefault="00000000" w:rsidRPr="00000000" w14:paraId="00000051">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Micelio</w:t>
            </w:r>
          </w:p>
          <w:p w:rsidR="00000000" w:rsidDel="00000000" w:rsidP="00000000" w:rsidRDefault="00000000" w:rsidRPr="00000000" w14:paraId="00000052">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blanco visible</w:t>
            </w:r>
          </w:p>
          <w:p w:rsidR="00000000" w:rsidDel="00000000" w:rsidP="00000000" w:rsidRDefault="00000000" w:rsidRPr="00000000" w14:paraId="00000053">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4">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Roña</w:t>
            </w:r>
          </w:p>
        </w:tc>
        <w:tc>
          <w:tcPr>
            <w:shd w:fill="auto" w:val="clear"/>
            <w:tcMar>
              <w:top w:w="100.0" w:type="dxa"/>
              <w:left w:w="100.0" w:type="dxa"/>
              <w:bottom w:w="100.0" w:type="dxa"/>
              <w:right w:w="100.0" w:type="dxa"/>
            </w:tcMar>
          </w:tcPr>
          <w:p w:rsidR="00000000" w:rsidDel="00000000" w:rsidP="00000000" w:rsidRDefault="00000000" w:rsidRPr="00000000" w14:paraId="00000055">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Fruto sin pedúnculo y con daño en</w:t>
            </w:r>
          </w:p>
          <w:p w:rsidR="00000000" w:rsidDel="00000000" w:rsidP="00000000" w:rsidRDefault="00000000" w:rsidRPr="00000000" w14:paraId="00000056">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lenticelas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7">
            <w:pPr>
              <w:widowControl w:val="0"/>
              <w:pBdr>
                <w:top w:space="0" w:sz="0" w:val="nil"/>
                <w:left w:space="0" w:sz="0" w:val="nil"/>
                <w:bottom w:space="0" w:sz="0" w:val="nil"/>
                <w:right w:space="0" w:sz="0" w:val="nil"/>
                <w:between w:space="0" w:sz="0" w:val="nil"/>
              </w:pBd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831662" cy="1061968"/>
                  <wp:effectExtent b="0" l="0" r="0" t="0"/>
                  <wp:docPr id="21" name="image11.png"/>
                  <a:graphic>
                    <a:graphicData uri="http://schemas.openxmlformats.org/drawingml/2006/picture">
                      <pic:pic>
                        <pic:nvPicPr>
                          <pic:cNvPr id="0" name="image11.png"/>
                          <pic:cNvPicPr preferRelativeResize="0"/>
                        </pic:nvPicPr>
                        <pic:blipFill>
                          <a:blip r:embed="rId8"/>
                          <a:srcRect b="22662" l="52059" r="31750" t="40184"/>
                          <a:stretch>
                            <a:fillRect/>
                          </a:stretch>
                        </pic:blipFill>
                        <pic:spPr>
                          <a:xfrm>
                            <a:off x="0" y="0"/>
                            <a:ext cx="831662" cy="106196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8">
            <w:pPr>
              <w:widowControl w:val="0"/>
              <w:pBdr>
                <w:top w:space="0" w:sz="0" w:val="nil"/>
                <w:left w:space="0" w:sz="0" w:val="nil"/>
                <w:bottom w:space="0" w:sz="0" w:val="nil"/>
                <w:right w:space="0" w:sz="0" w:val="nil"/>
                <w:between w:space="0" w:sz="0" w:val="nil"/>
              </w:pBd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761234" cy="1061968"/>
                  <wp:effectExtent b="0" l="0" r="0" t="0"/>
                  <wp:docPr id="20" name="image12.png"/>
                  <a:graphic>
                    <a:graphicData uri="http://schemas.openxmlformats.org/drawingml/2006/picture">
                      <pic:pic>
                        <pic:nvPicPr>
                          <pic:cNvPr id="0" name="image12.png"/>
                          <pic:cNvPicPr preferRelativeResize="0"/>
                        </pic:nvPicPr>
                        <pic:blipFill>
                          <a:blip r:embed="rId9"/>
                          <a:srcRect b="24922" l="60216" r="23206" t="35365"/>
                          <a:stretch>
                            <a:fillRect/>
                          </a:stretch>
                        </pic:blipFill>
                        <pic:spPr>
                          <a:xfrm>
                            <a:off x="0" y="0"/>
                            <a:ext cx="761234" cy="106196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9">
            <w:pPr>
              <w:widowControl w:val="0"/>
              <w:pBdr>
                <w:top w:space="0" w:sz="0" w:val="nil"/>
                <w:left w:space="0" w:sz="0" w:val="nil"/>
                <w:bottom w:space="0" w:sz="0" w:val="nil"/>
                <w:right w:space="0" w:sz="0" w:val="nil"/>
                <w:between w:space="0" w:sz="0" w:val="nil"/>
              </w:pBd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1001078" cy="1088128"/>
                  <wp:effectExtent b="0" l="0" r="0" t="0"/>
                  <wp:docPr id="23" name="image8.png"/>
                  <a:graphic>
                    <a:graphicData uri="http://schemas.openxmlformats.org/drawingml/2006/picture">
                      <pic:pic>
                        <pic:nvPicPr>
                          <pic:cNvPr id="0" name="image8.png"/>
                          <pic:cNvPicPr preferRelativeResize="0"/>
                        </pic:nvPicPr>
                        <pic:blipFill>
                          <a:blip r:embed="rId10"/>
                          <a:srcRect b="54435" l="60763" r="23993" t="15884"/>
                          <a:stretch>
                            <a:fillRect/>
                          </a:stretch>
                        </pic:blipFill>
                        <pic:spPr>
                          <a:xfrm>
                            <a:off x="0" y="0"/>
                            <a:ext cx="1001078" cy="108812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A">
            <w:pPr>
              <w:widowControl w:val="0"/>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791527" cy="1085813"/>
                  <wp:effectExtent b="0" l="0" r="0" t="0"/>
                  <wp:docPr id="22" name="image8.png"/>
                  <a:graphic>
                    <a:graphicData uri="http://schemas.openxmlformats.org/drawingml/2006/picture">
                      <pic:pic>
                        <pic:nvPicPr>
                          <pic:cNvPr id="0" name="image8.png"/>
                          <pic:cNvPicPr preferRelativeResize="0"/>
                        </pic:nvPicPr>
                        <pic:blipFill>
                          <a:blip r:embed="rId10"/>
                          <a:srcRect b="7889" l="59867" r="24596" t="54071"/>
                          <a:stretch>
                            <a:fillRect/>
                          </a:stretch>
                        </pic:blipFill>
                        <pic:spPr>
                          <a:xfrm>
                            <a:off x="0" y="0"/>
                            <a:ext cx="791527" cy="108581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B">
            <w:pPr>
              <w:widowControl w:val="0"/>
              <w:pBdr>
                <w:top w:space="0" w:sz="0" w:val="nil"/>
                <w:left w:space="0" w:sz="0" w:val="nil"/>
                <w:bottom w:space="0" w:sz="0" w:val="nil"/>
                <w:right w:space="0" w:sz="0" w:val="nil"/>
                <w:between w:space="0" w:sz="0" w:val="nil"/>
              </w:pBdr>
              <w:spacing w:after="0" w:line="240" w:lineRule="auto"/>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829627" cy="1109761"/>
                  <wp:effectExtent b="0" l="0" r="0" t="0"/>
                  <wp:docPr id="25" name="image4.png"/>
                  <a:graphic>
                    <a:graphicData uri="http://schemas.openxmlformats.org/drawingml/2006/picture">
                      <pic:pic>
                        <pic:nvPicPr>
                          <pic:cNvPr id="0" name="image4.png"/>
                          <pic:cNvPicPr preferRelativeResize="0"/>
                        </pic:nvPicPr>
                        <pic:blipFill>
                          <a:blip r:embed="rId11"/>
                          <a:srcRect b="22662" l="58560" r="24075" t="36128"/>
                          <a:stretch>
                            <a:fillRect/>
                          </a:stretch>
                        </pic:blipFill>
                        <pic:spPr>
                          <a:xfrm>
                            <a:off x="0" y="0"/>
                            <a:ext cx="829627" cy="1109761"/>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5C">
      <w:pPr>
        <w:spacing w:after="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i w:val="1"/>
          <w:sz w:val="20"/>
          <w:szCs w:val="20"/>
          <w:rtl w:val="0"/>
        </w:rPr>
        <w:t xml:space="preserve">Tabla 1. Inspección de daños aguacate Hass</w:t>
      </w:r>
      <w:r w:rsidDel="00000000" w:rsidR="00000000" w:rsidRPr="00000000">
        <w:rPr>
          <w:rtl w:val="0"/>
        </w:rPr>
      </w:r>
    </w:p>
    <w:p w:rsidR="00000000" w:rsidDel="00000000" w:rsidP="00000000" w:rsidRDefault="00000000" w:rsidRPr="00000000" w14:paraId="0000005D">
      <w:pPr>
        <w:numPr>
          <w:ilvl w:val="0"/>
          <w:numId w:val="7"/>
        </w:numPr>
        <w:spacing w:after="240" w:before="240" w:lineRule="auto"/>
        <w:ind w:left="720" w:hanging="360"/>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¿Es apto para exportar?</w:t>
      </w:r>
    </w:p>
    <w:p w:rsidR="00000000" w:rsidDel="00000000" w:rsidP="00000000" w:rsidRDefault="00000000" w:rsidRPr="00000000" w14:paraId="0000005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Para esta fase del proceso lo principal es analizar el color, peso, estado fitosanitario y daños mecánicos en el fruto. Es importante tener cuidado de no mezclar la fruta para mantener la trazabilidad en el proceso y saber a qué lote o finca pertenece. De acuerdo con la NTC 5209 (Icontec, 2003) existen requisitos generales para la comercialización de frutos de aguacate los cuales se presentan a continuación:</w:t>
      </w:r>
    </w:p>
    <w:p w:rsidR="00000000" w:rsidDel="00000000" w:rsidP="00000000" w:rsidRDefault="00000000" w:rsidRPr="00000000" w14:paraId="0000005F">
      <w:pPr>
        <w:numPr>
          <w:ilvl w:val="0"/>
          <w:numId w:val="2"/>
        </w:numPr>
        <w:spacing w:after="0" w:before="24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Estado de madurez fisiológica.</w:t>
      </w:r>
    </w:p>
    <w:p w:rsidR="00000000" w:rsidDel="00000000" w:rsidP="00000000" w:rsidRDefault="00000000" w:rsidRPr="00000000" w14:paraId="00000060">
      <w:pPr>
        <w:numPr>
          <w:ilvl w:val="0"/>
          <w:numId w:val="2"/>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Frutos enteros.</w:t>
      </w:r>
    </w:p>
    <w:p w:rsidR="00000000" w:rsidDel="00000000" w:rsidP="00000000" w:rsidRDefault="00000000" w:rsidRPr="00000000" w14:paraId="00000061">
      <w:pPr>
        <w:numPr>
          <w:ilvl w:val="0"/>
          <w:numId w:val="2"/>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Forma característica de la variedad.</w:t>
      </w:r>
    </w:p>
    <w:p w:rsidR="00000000" w:rsidDel="00000000" w:rsidP="00000000" w:rsidRDefault="00000000" w:rsidRPr="00000000" w14:paraId="00000062">
      <w:pPr>
        <w:numPr>
          <w:ilvl w:val="0"/>
          <w:numId w:val="2"/>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Aspecto fresco y consistencia firme.</w:t>
      </w:r>
    </w:p>
    <w:p w:rsidR="00000000" w:rsidDel="00000000" w:rsidP="00000000" w:rsidRDefault="00000000" w:rsidRPr="00000000" w14:paraId="00000063">
      <w:pPr>
        <w:numPr>
          <w:ilvl w:val="0"/>
          <w:numId w:val="2"/>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Fruto sano libre del ataque de plagas.</w:t>
      </w:r>
    </w:p>
    <w:p w:rsidR="00000000" w:rsidDel="00000000" w:rsidP="00000000" w:rsidRDefault="00000000" w:rsidRPr="00000000" w14:paraId="00000064">
      <w:pPr>
        <w:numPr>
          <w:ilvl w:val="0"/>
          <w:numId w:val="2"/>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Libre de humedad externa anormal, fisuras y daños mecánicos.</w:t>
      </w:r>
    </w:p>
    <w:p w:rsidR="00000000" w:rsidDel="00000000" w:rsidP="00000000" w:rsidRDefault="00000000" w:rsidRPr="00000000" w14:paraId="00000065">
      <w:pPr>
        <w:numPr>
          <w:ilvl w:val="0"/>
          <w:numId w:val="2"/>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Exento de olores y sabores extraños.</w:t>
      </w:r>
    </w:p>
    <w:p w:rsidR="00000000" w:rsidDel="00000000" w:rsidP="00000000" w:rsidRDefault="00000000" w:rsidRPr="00000000" w14:paraId="00000066">
      <w:pPr>
        <w:numPr>
          <w:ilvl w:val="0"/>
          <w:numId w:val="2"/>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Exento de materiales extraños visibles en el producto o en el empaque</w:t>
      </w:r>
    </w:p>
    <w:p w:rsidR="00000000" w:rsidDel="00000000" w:rsidP="00000000" w:rsidRDefault="00000000" w:rsidRPr="00000000" w14:paraId="00000067">
      <w:pPr>
        <w:numPr>
          <w:ilvl w:val="0"/>
          <w:numId w:val="2"/>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Fruto con pedúnculo cuya longitud máxima sea de 5 mm.</w:t>
      </w:r>
    </w:p>
    <w:p w:rsidR="00000000" w:rsidDel="00000000" w:rsidP="00000000" w:rsidRDefault="00000000" w:rsidRPr="00000000" w14:paraId="00000068">
      <w:pPr>
        <w:numPr>
          <w:ilvl w:val="0"/>
          <w:numId w:val="2"/>
        </w:numPr>
        <w:spacing w:after="24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Los residuos de plaguicidas no deben exceder los límites máximos establecidos en el Codex Alimentarius.</w:t>
      </w:r>
    </w:p>
    <w:p w:rsidR="00000000" w:rsidDel="00000000" w:rsidP="00000000" w:rsidRDefault="00000000" w:rsidRPr="00000000" w14:paraId="00000069">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La clasificación de los frutos es según lo demande el mercado de comercialización, teniendo en cuenta las características de calidad que se indican en la NTC 1248</w:t>
      </w:r>
    </w:p>
    <w:p w:rsidR="00000000" w:rsidDel="00000000" w:rsidP="00000000" w:rsidRDefault="00000000" w:rsidRPr="00000000" w14:paraId="0000006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Así mismo, la NTC 5296 establece una clasificación general (categorías) para aguacates, que no depende del calibre y la variedad:</w:t>
      </w:r>
    </w:p>
    <w:p w:rsidR="00000000" w:rsidDel="00000000" w:rsidP="00000000" w:rsidRDefault="00000000" w:rsidRPr="00000000" w14:paraId="0000006B">
      <w:pPr>
        <w:numPr>
          <w:ilvl w:val="0"/>
          <w:numId w:val="6"/>
        </w:numPr>
        <w:spacing w:after="0" w:before="24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Categoría extra: Los frutos deben estar en estado de madurez fisiológica, enteros, deben tener la forma característica de la variedad cumplir con y estar exentos de todo defecto que cause demérito en la calidad interna. Se aceptan manchas superficiales ocasionadas por insectos (trips y ácaros), así como raspaduras por el roce entre frutos; estos defectos no deberán cubrir la superficie del fruto en más del 5%.</w:t>
      </w:r>
    </w:p>
    <w:p w:rsidR="00000000" w:rsidDel="00000000" w:rsidP="00000000" w:rsidRDefault="00000000" w:rsidRPr="00000000" w14:paraId="0000006C">
      <w:pPr>
        <w:numPr>
          <w:ilvl w:val="0"/>
          <w:numId w:val="6"/>
        </w:numPr>
        <w:spacing w:after="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Categoría I: Los frutos deben estar exentos de todo defecto que cause demérito en la calidad interna. Se aceptan manchas superficiales ocasionadas por raspaduras causadas por el roce entre frutos y cicatrices superficiales ocasionadas por insectos (trips y ácaros); estos defectos no deben cubrir la superficie del fruto más del 10%. Se admiten ligeras deformaciones del fruto.</w:t>
      </w:r>
    </w:p>
    <w:p w:rsidR="00000000" w:rsidDel="00000000" w:rsidP="00000000" w:rsidRDefault="00000000" w:rsidRPr="00000000" w14:paraId="0000006D">
      <w:pPr>
        <w:numPr>
          <w:ilvl w:val="0"/>
          <w:numId w:val="6"/>
        </w:numPr>
        <w:spacing w:after="240" w:lineRule="auto"/>
        <w:ind w:left="72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Categoría II: Frutos que no se pueden clasificar en las categorías anteriores, pero cumplen con algunos requisitos. Pueden presentar manchas superficiales ocasionadas por raspaduras por el roce entre frutos, cicatrices superficiales causadas por insectos (trips y ácaros) y golpe de sol. Estos defectos no deberán cubrir la superficie del fruto en más del 15%. Se admiten deformaciones de fruto.</w:t>
      </w:r>
    </w:p>
    <w:p w:rsidR="00000000" w:rsidDel="00000000" w:rsidP="00000000" w:rsidRDefault="00000000" w:rsidRPr="00000000" w14:paraId="0000006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También establece unos requisitos específicos en cuanto al contenido de pulpa, consistencia y contenido de grasa por variedad. A continuación, se relaciona la información para la variedad Hass (Tabla 2):</w:t>
      </w:r>
    </w:p>
    <w:tbl>
      <w:tblPr>
        <w:tblStyle w:val="Table2"/>
        <w:tblW w:w="8838.0"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46"/>
        <w:gridCol w:w="2946"/>
        <w:gridCol w:w="2946"/>
        <w:tblGridChange w:id="0">
          <w:tblGrid>
            <w:gridCol w:w="2946"/>
            <w:gridCol w:w="2946"/>
            <w:gridCol w:w="2946"/>
          </w:tblGrid>
        </w:tblGridChange>
      </w:tblGrid>
      <w:tr>
        <w:trPr>
          <w:cantSplit w:val="0"/>
          <w:trHeight w:val="400" w:hRule="atLeast"/>
          <w:tblHeader w:val="0"/>
        </w:trPr>
        <w:tc>
          <w:tcPr>
            <w:gridSpan w:val="3"/>
            <w:shd w:fill="auto" w:val="clear"/>
            <w:tcMar>
              <w:top w:w="100.0" w:type="dxa"/>
              <w:left w:w="100.0" w:type="dxa"/>
              <w:bottom w:w="100.0" w:type="dxa"/>
              <w:right w:w="100.0" w:type="dxa"/>
            </w:tcMar>
          </w:tcPr>
          <w:p w:rsidR="00000000" w:rsidDel="00000000" w:rsidP="00000000" w:rsidRDefault="00000000" w:rsidRPr="00000000" w14:paraId="0000006F">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Requisitos específicos variedad Hass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2">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Contenido de pulpa (Porcentaje -%)</w:t>
            </w:r>
          </w:p>
        </w:tc>
        <w:tc>
          <w:tcPr>
            <w:shd w:fill="auto" w:val="clear"/>
            <w:tcMar>
              <w:top w:w="100.0" w:type="dxa"/>
              <w:left w:w="100.0" w:type="dxa"/>
              <w:bottom w:w="100.0" w:type="dxa"/>
              <w:right w:w="100.0" w:type="dxa"/>
            </w:tcMar>
          </w:tcPr>
          <w:p w:rsidR="00000000" w:rsidDel="00000000" w:rsidP="00000000" w:rsidRDefault="00000000" w:rsidRPr="00000000" w14:paraId="00000073">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Consistencia (Valor máximo y mínimo en Kgf/cm2)</w:t>
            </w:r>
          </w:p>
        </w:tc>
        <w:tc>
          <w:tcPr>
            <w:shd w:fill="auto" w:val="clear"/>
            <w:tcMar>
              <w:top w:w="100.0" w:type="dxa"/>
              <w:left w:w="100.0" w:type="dxa"/>
              <w:bottom w:w="100.0" w:type="dxa"/>
              <w:right w:w="100.0" w:type="dxa"/>
            </w:tcMar>
          </w:tcPr>
          <w:p w:rsidR="00000000" w:rsidDel="00000000" w:rsidP="00000000" w:rsidRDefault="00000000" w:rsidRPr="00000000" w14:paraId="00000074">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Contenido de grasa - aceite (Porcentaje en 100 gr de pulpa)</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5">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55.7</w:t>
            </w:r>
          </w:p>
        </w:tc>
        <w:tc>
          <w:tcPr>
            <w:shd w:fill="auto" w:val="clear"/>
            <w:tcMar>
              <w:top w:w="100.0" w:type="dxa"/>
              <w:left w:w="100.0" w:type="dxa"/>
              <w:bottom w:w="100.0" w:type="dxa"/>
              <w:right w:w="100.0" w:type="dxa"/>
            </w:tcMar>
          </w:tcPr>
          <w:p w:rsidR="00000000" w:rsidDel="00000000" w:rsidP="00000000" w:rsidRDefault="00000000" w:rsidRPr="00000000" w14:paraId="00000076">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2.4 - 2.8</w:t>
            </w:r>
          </w:p>
        </w:tc>
        <w:tc>
          <w:tcPr>
            <w:shd w:fill="auto" w:val="clear"/>
            <w:tcMar>
              <w:top w:w="100.0" w:type="dxa"/>
              <w:left w:w="100.0" w:type="dxa"/>
              <w:bottom w:w="100.0" w:type="dxa"/>
              <w:right w:w="100.0" w:type="dxa"/>
            </w:tcMar>
          </w:tcPr>
          <w:p w:rsidR="00000000" w:rsidDel="00000000" w:rsidP="00000000" w:rsidRDefault="00000000" w:rsidRPr="00000000" w14:paraId="00000077">
            <w:pPr>
              <w:widowControl w:val="0"/>
              <w:pBdr>
                <w:top w:space="0" w:sz="0" w:val="nil"/>
                <w:left w:space="0" w:sz="0" w:val="nil"/>
                <w:bottom w:space="0" w:sz="0" w:val="nil"/>
                <w:right w:space="0" w:sz="0" w:val="nil"/>
                <w:between w:space="0" w:sz="0" w:val="nil"/>
              </w:pBd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25.5</w:t>
            </w:r>
          </w:p>
        </w:tc>
      </w:tr>
    </w:tbl>
    <w:p w:rsidR="00000000" w:rsidDel="00000000" w:rsidP="00000000" w:rsidRDefault="00000000" w:rsidRPr="00000000" w14:paraId="00000078">
      <w:pPr>
        <w:spacing w:after="0" w:lineRule="auto"/>
        <w:jc w:val="center"/>
        <w:rPr>
          <w:rFonts w:ascii="Times New Roman" w:cs="Times New Roman" w:eastAsia="Times New Roman" w:hAnsi="Times New Roman"/>
          <w:i w:val="1"/>
          <w:sz w:val="20"/>
          <w:szCs w:val="20"/>
        </w:rPr>
      </w:pPr>
      <w:r w:rsidDel="00000000" w:rsidR="00000000" w:rsidRPr="00000000">
        <w:rPr>
          <w:rFonts w:ascii="Times New Roman" w:cs="Times New Roman" w:eastAsia="Times New Roman" w:hAnsi="Times New Roman"/>
          <w:i w:val="1"/>
          <w:sz w:val="20"/>
          <w:szCs w:val="20"/>
          <w:rtl w:val="0"/>
        </w:rPr>
        <w:t xml:space="preserve">Tabla 2. Requisitos específicos de la variedad. Fuente: ICONTEC 2003</w:t>
      </w:r>
    </w:p>
    <w:p w:rsidR="00000000" w:rsidDel="00000000" w:rsidP="00000000" w:rsidRDefault="00000000" w:rsidRPr="00000000" w14:paraId="00000079">
      <w:pPr>
        <w:spacing w:after="240" w:before="240" w:lineRule="auto"/>
        <w:rPr>
          <w:rFonts w:ascii="Times New Roman" w:cs="Times New Roman" w:eastAsia="Times New Roman" w:hAnsi="Times New Roman"/>
          <w:i w:val="1"/>
          <w:sz w:val="20"/>
          <w:szCs w:val="20"/>
        </w:rPr>
      </w:pPr>
      <w:r w:rsidDel="00000000" w:rsidR="00000000" w:rsidRPr="00000000">
        <w:rPr>
          <w:rtl w:val="0"/>
        </w:rPr>
      </w:r>
    </w:p>
    <w:p w:rsidR="00000000" w:rsidDel="00000000" w:rsidP="00000000" w:rsidRDefault="00000000" w:rsidRPr="00000000" w14:paraId="0000007A">
      <w:pPr>
        <w:spacing w:after="240" w:before="240" w:lineRule="auto"/>
        <w:rPr>
          <w:rFonts w:ascii="Times New Roman" w:cs="Times New Roman" w:eastAsia="Times New Roman" w:hAnsi="Times New Roman"/>
          <w:i w:val="1"/>
          <w:sz w:val="20"/>
          <w:szCs w:val="20"/>
        </w:rPr>
      </w:pPr>
      <w:r w:rsidDel="00000000" w:rsidR="00000000" w:rsidRPr="00000000">
        <w:rPr>
          <w:rtl w:val="0"/>
        </w:rPr>
      </w:r>
    </w:p>
    <w:p w:rsidR="00000000" w:rsidDel="00000000" w:rsidP="00000000" w:rsidRDefault="00000000" w:rsidRPr="00000000" w14:paraId="0000007B">
      <w:pPr>
        <w:numPr>
          <w:ilvl w:val="0"/>
          <w:numId w:val="7"/>
        </w:numPr>
        <w:spacing w:after="240" w:before="240" w:lineRule="auto"/>
        <w:ind w:left="720" w:hanging="360"/>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Transporte hacia la maquila</w:t>
      </w:r>
    </w:p>
    <w:p w:rsidR="00000000" w:rsidDel="00000000" w:rsidP="00000000" w:rsidRDefault="00000000" w:rsidRPr="00000000" w14:paraId="0000007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Los vehículos, además de estar limpios, deben aislar los frutos de cualquier tipo de contaminación durante el desplazamiento; así mismo, estar acondicionados, de tal manera que se mantenga la calidad del fruto.</w:t>
      </w:r>
    </w:p>
    <w:p w:rsidR="00000000" w:rsidDel="00000000" w:rsidP="00000000" w:rsidRDefault="00000000" w:rsidRPr="00000000" w14:paraId="0000007D">
      <w:pPr>
        <w:numPr>
          <w:ilvl w:val="0"/>
          <w:numId w:val="7"/>
        </w:numPr>
        <w:spacing w:after="240" w:before="240" w:lineRule="auto"/>
        <w:ind w:left="720" w:hanging="360"/>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Determinar peso de los aguacates</w:t>
      </w:r>
    </w:p>
    <w:p w:rsidR="00000000" w:rsidDel="00000000" w:rsidP="00000000" w:rsidRDefault="00000000" w:rsidRPr="00000000" w14:paraId="0000007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El aguacate </w:t>
      </w:r>
      <w:r w:rsidDel="00000000" w:rsidR="00000000" w:rsidRPr="00000000">
        <w:rPr>
          <w:rFonts w:ascii="Times New Roman" w:cs="Times New Roman" w:eastAsia="Times New Roman" w:hAnsi="Times New Roman"/>
          <w:i w:val="1"/>
          <w:sz w:val="20"/>
          <w:szCs w:val="20"/>
          <w:rtl w:val="0"/>
        </w:rPr>
        <w:t xml:space="preserve">Hass</w:t>
      </w:r>
      <w:r w:rsidDel="00000000" w:rsidR="00000000" w:rsidRPr="00000000">
        <w:rPr>
          <w:rFonts w:ascii="Times New Roman" w:cs="Times New Roman" w:eastAsia="Times New Roman" w:hAnsi="Times New Roman"/>
          <w:sz w:val="20"/>
          <w:szCs w:val="20"/>
          <w:rtl w:val="0"/>
        </w:rPr>
        <w:t xml:space="preserve"> debe de presentar una longitud mayor de 8,86 cm y un diámetro mayor de 6,64 cm para poder ser exportado. </w:t>
      </w:r>
    </w:p>
    <w:p w:rsidR="00000000" w:rsidDel="00000000" w:rsidP="00000000" w:rsidRDefault="00000000" w:rsidRPr="00000000" w14:paraId="0000007F">
      <w:pPr>
        <w:spacing w:after="240" w:before="240"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80">
      <w:pPr>
        <w:numPr>
          <w:ilvl w:val="0"/>
          <w:numId w:val="7"/>
        </w:numPr>
        <w:spacing w:after="240" w:before="240" w:lineRule="auto"/>
        <w:ind w:left="720" w:hanging="360"/>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Inspección de calidad</w:t>
      </w:r>
    </w:p>
    <w:p w:rsidR="00000000" w:rsidDel="00000000" w:rsidP="00000000" w:rsidRDefault="00000000" w:rsidRPr="00000000" w14:paraId="00000081">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El aguacate Hass debe presentar unas características físicas para una aceptación. Estas son: cáscara, esta debe ser rugosa con notorias lenticelas, percepción visual; grado de madurez, donde es verificar la madurez fisiológica en GM3 (Tabla por color); color del fruto,  debe desaparecer el brillo y el color pasar de verde claro a verde oscuro (Paleta de color); color y estructura interna, donde la semilla debe estar separada de la pulpa. La pulpa debe presentar una coloración verde – amarillosa y textura cremosa (Percepción visual)</w:t>
      </w:r>
    </w:p>
    <w:tbl>
      <w:tblPr>
        <w:tblStyle w:val="Table3"/>
        <w:tblW w:w="10620.0" w:type="dxa"/>
        <w:jc w:val="left"/>
        <w:tblInd w:w="-100.0" w:type="dxa"/>
        <w:tblLayout w:type="fixed"/>
        <w:tblLook w:val="0400"/>
      </w:tblPr>
      <w:tblGrid>
        <w:gridCol w:w="1000"/>
        <w:gridCol w:w="1960"/>
        <w:gridCol w:w="1960"/>
        <w:gridCol w:w="1940"/>
        <w:gridCol w:w="2040"/>
        <w:gridCol w:w="1720"/>
        <w:tblGridChange w:id="0">
          <w:tblGrid>
            <w:gridCol w:w="1000"/>
            <w:gridCol w:w="1960"/>
            <w:gridCol w:w="1960"/>
            <w:gridCol w:w="1940"/>
            <w:gridCol w:w="2040"/>
            <w:gridCol w:w="1720"/>
          </w:tblGrid>
        </w:tblGridChange>
      </w:tblGrid>
      <w:tr>
        <w:trPr>
          <w:cantSplit w:val="0"/>
          <w:trHeight w:val="90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2">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Grado de madurez (GM) </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3">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GM1</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4">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GM2</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5">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GM3</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6">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GM4</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7">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GM5</w:t>
            </w:r>
          </w:p>
        </w:tc>
      </w:tr>
      <w:tr>
        <w:trPr>
          <w:cantSplit w:val="0"/>
          <w:trHeight w:val="945"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8">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Detalle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9">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Fruto de color verde claro brillante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A">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Fruto con tonalidad verde oscuro, brillante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B">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Fruto verde oscuro con notable lenticelas</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C">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Fruto verde oscuro con tono morado intenso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D">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Fruto color Vinotinto</w:t>
            </w:r>
          </w:p>
        </w:tc>
      </w:tr>
      <w:tr>
        <w:trPr>
          <w:cantSplit w:val="0"/>
          <w:trHeight w:val="6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8E">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Color del fruto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F">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sz w:val="20"/>
                <w:szCs w:val="20"/>
              </w:rPr>
              <w:drawing>
                <wp:inline distB="0" distT="0" distL="0" distR="0">
                  <wp:extent cx="1212952" cy="931804"/>
                  <wp:effectExtent b="0" l="0" r="0" t="0"/>
                  <wp:docPr id="24"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1212952" cy="931804"/>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0">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sz w:val="20"/>
                <w:szCs w:val="20"/>
              </w:rPr>
              <w:drawing>
                <wp:inline distB="0" distT="0" distL="0" distR="0">
                  <wp:extent cx="1250983" cy="912008"/>
                  <wp:effectExtent b="0" l="0" r="0" t="0"/>
                  <wp:docPr id="27" name="image14.png"/>
                  <a:graphic>
                    <a:graphicData uri="http://schemas.openxmlformats.org/drawingml/2006/picture">
                      <pic:pic>
                        <pic:nvPicPr>
                          <pic:cNvPr id="0" name="image14.png"/>
                          <pic:cNvPicPr preferRelativeResize="0"/>
                        </pic:nvPicPr>
                        <pic:blipFill>
                          <a:blip r:embed="rId13"/>
                          <a:srcRect b="0" l="0" r="0" t="0"/>
                          <a:stretch>
                            <a:fillRect/>
                          </a:stretch>
                        </pic:blipFill>
                        <pic:spPr>
                          <a:xfrm>
                            <a:off x="0" y="0"/>
                            <a:ext cx="1250983" cy="912008"/>
                          </a:xfrm>
                          <a:prstGeom prst="rect"/>
                          <a:ln/>
                        </pic:spPr>
                      </pic:pic>
                    </a:graphicData>
                  </a:graphic>
                </wp:inline>
              </w:drawing>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1">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0" distT="0" distL="0" distR="0">
                  <wp:extent cx="1236467" cy="931365"/>
                  <wp:effectExtent b="0" l="0" r="0" t="0"/>
                  <wp:docPr id="26" name="image15.png"/>
                  <a:graphic>
                    <a:graphicData uri="http://schemas.openxmlformats.org/drawingml/2006/picture">
                      <pic:pic>
                        <pic:nvPicPr>
                          <pic:cNvPr id="0" name="image15.png"/>
                          <pic:cNvPicPr preferRelativeResize="0"/>
                        </pic:nvPicPr>
                        <pic:blipFill>
                          <a:blip r:embed="rId14"/>
                          <a:srcRect b="0" l="0" r="0" t="0"/>
                          <a:stretch>
                            <a:fillRect/>
                          </a:stretch>
                        </pic:blipFill>
                        <pic:spPr>
                          <a:xfrm>
                            <a:off x="0" y="0"/>
                            <a:ext cx="1236467" cy="931365"/>
                          </a:xfrm>
                          <a:prstGeom prst="rect"/>
                          <a:ln/>
                        </pic:spPr>
                      </pic:pic>
                    </a:graphicData>
                  </a:graphic>
                </wp:inline>
              </w:drawing>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2">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0" distT="0" distL="0" distR="0">
                  <wp:extent cx="1307582" cy="907134"/>
                  <wp:effectExtent b="0" l="0" r="0" t="0"/>
                  <wp:docPr id="30"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1307582" cy="907134"/>
                          </a:xfrm>
                          <a:prstGeom prst="rect"/>
                          <a:ln/>
                        </pic:spPr>
                      </pic:pic>
                    </a:graphicData>
                  </a:graphic>
                </wp:inline>
              </w:drawing>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3">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0" distT="0" distL="0" distR="0">
                  <wp:extent cx="1055400" cy="908818"/>
                  <wp:effectExtent b="0" l="0" r="0" t="0"/>
                  <wp:docPr id="28" name="image17.png"/>
                  <a:graphic>
                    <a:graphicData uri="http://schemas.openxmlformats.org/drawingml/2006/picture">
                      <pic:pic>
                        <pic:nvPicPr>
                          <pic:cNvPr id="0" name="image17.png"/>
                          <pic:cNvPicPr preferRelativeResize="0"/>
                        </pic:nvPicPr>
                        <pic:blipFill>
                          <a:blip r:embed="rId16"/>
                          <a:srcRect b="0" l="0" r="0" t="0"/>
                          <a:stretch>
                            <a:fillRect/>
                          </a:stretch>
                        </pic:blipFill>
                        <pic:spPr>
                          <a:xfrm>
                            <a:off x="0" y="0"/>
                            <a:ext cx="1055400" cy="908818"/>
                          </a:xfrm>
                          <a:prstGeom prst="rect"/>
                          <a:ln/>
                        </pic:spPr>
                      </pic:pic>
                    </a:graphicData>
                  </a:graphic>
                </wp:inline>
              </w:drawing>
            </w:r>
            <w:r w:rsidDel="00000000" w:rsidR="00000000" w:rsidRPr="00000000">
              <w:rPr>
                <w:rFonts w:ascii="Times New Roman" w:cs="Times New Roman" w:eastAsia="Times New Roman" w:hAnsi="Times New Roman"/>
                <w:sz w:val="20"/>
                <w:szCs w:val="20"/>
                <w:rtl w:val="0"/>
              </w:rPr>
              <w:t xml:space="preserve"> </w:t>
            </w:r>
          </w:p>
        </w:tc>
      </w:tr>
      <w:tr>
        <w:trPr>
          <w:cantSplit w:val="0"/>
          <w:trHeight w:val="6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94">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Color de referencia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5">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0" distT="0" distL="0" distR="0">
                  <wp:extent cx="790685" cy="638264"/>
                  <wp:effectExtent b="0" l="0" r="0" t="0"/>
                  <wp:docPr id="29" name="image9.png"/>
                  <a:graphic>
                    <a:graphicData uri="http://schemas.openxmlformats.org/drawingml/2006/picture">
                      <pic:pic>
                        <pic:nvPicPr>
                          <pic:cNvPr id="0" name="image9.png"/>
                          <pic:cNvPicPr preferRelativeResize="0"/>
                        </pic:nvPicPr>
                        <pic:blipFill>
                          <a:blip r:embed="rId17"/>
                          <a:srcRect b="0" l="0" r="0" t="0"/>
                          <a:stretch>
                            <a:fillRect/>
                          </a:stretch>
                        </pic:blipFill>
                        <pic:spPr>
                          <a:xfrm>
                            <a:off x="0" y="0"/>
                            <a:ext cx="790685" cy="638264"/>
                          </a:xfrm>
                          <a:prstGeom prst="rect"/>
                          <a:ln/>
                        </pic:spPr>
                      </pic:pic>
                    </a:graphicData>
                  </a:graphic>
                </wp:inline>
              </w:drawing>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6">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0" distT="0" distL="0" distR="0">
                  <wp:extent cx="752517" cy="640658"/>
                  <wp:effectExtent b="0" l="0" r="0" t="0"/>
                  <wp:docPr id="31"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752517" cy="640658"/>
                          </a:xfrm>
                          <a:prstGeom prst="rect"/>
                          <a:ln/>
                        </pic:spPr>
                      </pic:pic>
                    </a:graphicData>
                  </a:graphic>
                </wp:inline>
              </w:drawing>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7">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0" distT="0" distL="0" distR="0">
                  <wp:extent cx="797728" cy="642614"/>
                  <wp:effectExtent b="0" l="0" r="0" t="0"/>
                  <wp:docPr id="32" name="image16.png"/>
                  <a:graphic>
                    <a:graphicData uri="http://schemas.openxmlformats.org/drawingml/2006/picture">
                      <pic:pic>
                        <pic:nvPicPr>
                          <pic:cNvPr id="0" name="image16.png"/>
                          <pic:cNvPicPr preferRelativeResize="0"/>
                        </pic:nvPicPr>
                        <pic:blipFill>
                          <a:blip r:embed="rId19"/>
                          <a:srcRect b="0" l="0" r="0" t="0"/>
                          <a:stretch>
                            <a:fillRect/>
                          </a:stretch>
                        </pic:blipFill>
                        <pic:spPr>
                          <a:xfrm>
                            <a:off x="0" y="0"/>
                            <a:ext cx="797728" cy="642614"/>
                          </a:xfrm>
                          <a:prstGeom prst="rect"/>
                          <a:ln/>
                        </pic:spPr>
                      </pic:pic>
                    </a:graphicData>
                  </a:graphic>
                </wp:inline>
              </w:drawing>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8">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0" distT="0" distL="0" distR="0">
                  <wp:extent cx="836262" cy="631644"/>
                  <wp:effectExtent b="0" l="0" r="0" t="0"/>
                  <wp:docPr id="33" name="image10.png"/>
                  <a:graphic>
                    <a:graphicData uri="http://schemas.openxmlformats.org/drawingml/2006/picture">
                      <pic:pic>
                        <pic:nvPicPr>
                          <pic:cNvPr id="0" name="image10.png"/>
                          <pic:cNvPicPr preferRelativeResize="0"/>
                        </pic:nvPicPr>
                        <pic:blipFill>
                          <a:blip r:embed="rId20"/>
                          <a:srcRect b="0" l="0" r="0" t="0"/>
                          <a:stretch>
                            <a:fillRect/>
                          </a:stretch>
                        </pic:blipFill>
                        <pic:spPr>
                          <a:xfrm>
                            <a:off x="0" y="0"/>
                            <a:ext cx="836262" cy="631644"/>
                          </a:xfrm>
                          <a:prstGeom prst="rect"/>
                          <a:ln/>
                        </pic:spPr>
                      </pic:pic>
                    </a:graphicData>
                  </a:graphic>
                </wp:inline>
              </w:drawing>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9">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0" distT="0" distL="0" distR="0">
                  <wp:extent cx="759182" cy="618192"/>
                  <wp:effectExtent b="0" l="0" r="0" t="0"/>
                  <wp:docPr id="34" name="image2.png"/>
                  <a:graphic>
                    <a:graphicData uri="http://schemas.openxmlformats.org/drawingml/2006/picture">
                      <pic:pic>
                        <pic:nvPicPr>
                          <pic:cNvPr id="0" name="image2.png"/>
                          <pic:cNvPicPr preferRelativeResize="0"/>
                        </pic:nvPicPr>
                        <pic:blipFill>
                          <a:blip r:embed="rId21"/>
                          <a:srcRect b="0" l="0" r="0" t="0"/>
                          <a:stretch>
                            <a:fillRect/>
                          </a:stretch>
                        </pic:blipFill>
                        <pic:spPr>
                          <a:xfrm>
                            <a:off x="0" y="0"/>
                            <a:ext cx="759182" cy="618192"/>
                          </a:xfrm>
                          <a:prstGeom prst="rect"/>
                          <a:ln/>
                        </pic:spPr>
                      </pic:pic>
                    </a:graphicData>
                  </a:graphic>
                </wp:inline>
              </w:drawing>
            </w:r>
            <w:r w:rsidDel="00000000" w:rsidR="00000000" w:rsidRPr="00000000">
              <w:rPr>
                <w:rFonts w:ascii="Times New Roman" w:cs="Times New Roman" w:eastAsia="Times New Roman" w:hAnsi="Times New Roman"/>
                <w:sz w:val="20"/>
                <w:szCs w:val="20"/>
                <w:rtl w:val="0"/>
              </w:rPr>
              <w:t xml:space="preserve"> </w:t>
            </w:r>
          </w:p>
        </w:tc>
      </w:tr>
    </w:tbl>
    <w:p w:rsidR="00000000" w:rsidDel="00000000" w:rsidP="00000000" w:rsidRDefault="00000000" w:rsidRPr="00000000" w14:paraId="0000009A">
      <w:pPr>
        <w:widowControl w:val="0"/>
        <w:spacing w:after="0" w:line="276"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9B">
      <w:pPr>
        <w:spacing w:after="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i w:val="1"/>
          <w:sz w:val="20"/>
          <w:szCs w:val="20"/>
          <w:rtl w:val="0"/>
        </w:rPr>
        <w:t xml:space="preserve">Tabla 4. Tabla de color para la verificación visual de madurez fisiológica.</w:t>
      </w:r>
      <w:r w:rsidDel="00000000" w:rsidR="00000000" w:rsidRPr="00000000">
        <w:rPr>
          <w:rtl w:val="0"/>
        </w:rPr>
      </w:r>
    </w:p>
    <w:p w:rsidR="00000000" w:rsidDel="00000000" w:rsidP="00000000" w:rsidRDefault="00000000" w:rsidRPr="00000000" w14:paraId="0000009C">
      <w:pPr>
        <w:spacing w:after="240" w:before="240" w:lineRule="auto"/>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VI. Lavado de Suciedad-Desinfección</w:t>
      </w:r>
    </w:p>
    <w:p w:rsidR="00000000" w:rsidDel="00000000" w:rsidP="00000000" w:rsidRDefault="00000000" w:rsidRPr="00000000" w14:paraId="0000009D">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En esta etapa se retiran residuos (hojas, ramas) y se limpian los frutos con cepillos. Se pueden descartar frutos muy pequeños o con daños significativos, los cuales deben remitirse al área de descarte.</w:t>
      </w:r>
    </w:p>
    <w:p w:rsidR="00000000" w:rsidDel="00000000" w:rsidP="00000000" w:rsidRDefault="00000000" w:rsidRPr="00000000" w14:paraId="0000009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El lavado y desinfección de la fruta se realiza con una mezcla de agua potable y fungicida, por aspersión del fruto (figura 4). Es importante realizar una desinfección adecuada, sobre todo, cuando se manejan importantes cantidades de producto, con el fin de evitar lesiones o daños ocasionados por hongos. Para este fin, se recomienda el método de aspersión con una solución de 1,2 mL de fungicida comercial —con componente activo Procloraz (Mirage® 45 EC. Registro ICA 1169)— por litro de agua y dejar secar al ambiente o con aire forzado. </w:t>
      </w:r>
    </w:p>
    <w:p w:rsidR="00000000" w:rsidDel="00000000" w:rsidP="00000000" w:rsidRDefault="00000000" w:rsidRPr="00000000" w14:paraId="0000009F">
      <w:pPr>
        <w:spacing w:after="240" w:befor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1124903" cy="1245428"/>
            <wp:effectExtent b="0" l="0" r="0" t="0"/>
            <wp:docPr id="35" name="image3.png"/>
            <a:graphic>
              <a:graphicData uri="http://schemas.openxmlformats.org/drawingml/2006/picture">
                <pic:pic>
                  <pic:nvPicPr>
                    <pic:cNvPr id="0" name="image3.png"/>
                    <pic:cNvPicPr preferRelativeResize="0"/>
                  </pic:nvPicPr>
                  <pic:blipFill>
                    <a:blip r:embed="rId22"/>
                    <a:srcRect b="0" l="0" r="0" t="0"/>
                    <a:stretch>
                      <a:fillRect/>
                    </a:stretch>
                  </pic:blipFill>
                  <pic:spPr>
                    <a:xfrm>
                      <a:off x="0" y="0"/>
                      <a:ext cx="1124903" cy="1245428"/>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spacing w:after="240" w:befor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i w:val="1"/>
          <w:sz w:val="20"/>
          <w:szCs w:val="20"/>
          <w:rtl w:val="0"/>
        </w:rPr>
        <w:t xml:space="preserve">Figura 2. Mirage® 45 EC. Registro ICA 1169</w:t>
      </w:r>
      <w:r w:rsidDel="00000000" w:rsidR="00000000" w:rsidRPr="00000000">
        <w:rPr>
          <w:rtl w:val="0"/>
        </w:rPr>
      </w:r>
    </w:p>
    <w:p w:rsidR="00000000" w:rsidDel="00000000" w:rsidP="00000000" w:rsidRDefault="00000000" w:rsidRPr="00000000" w14:paraId="000000A1">
      <w:pP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VII. Inspección de residuos</w:t>
      </w:r>
    </w:p>
    <w:p w:rsidR="00000000" w:rsidDel="00000000" w:rsidP="00000000" w:rsidRDefault="00000000" w:rsidRPr="00000000" w14:paraId="000000A2">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Una vez se haya completado el proceso de lavado, se debe realizar una minuciosa inspección, en la que se determinará si el aguacate está totalmente limpio para seguir su proceso. Si aún tiene residuos de suciedad se deberá realizar el proceso de lavado una vez más.</w:t>
      </w:r>
    </w:p>
    <w:p w:rsidR="00000000" w:rsidDel="00000000" w:rsidP="00000000" w:rsidRDefault="00000000" w:rsidRPr="00000000" w14:paraId="000000A3">
      <w:pP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A4">
      <w:pPr>
        <w:spacing w:after="240" w:before="240" w:lineRule="auto"/>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VIII. Secado</w:t>
      </w:r>
    </w:p>
    <w:p w:rsidR="00000000" w:rsidDel="00000000" w:rsidP="00000000" w:rsidRDefault="00000000" w:rsidRPr="00000000" w14:paraId="000000A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El aguacate debe ser secado al ambiente o con servilletas; posteriormente, en un recipiente plástico con tapa muy limpia se forma una cámara húmeda, que consiste en poner servilletas humedecidas con agua potable (sin exceso de agua) en el fondo del recipiente. Luego, se pone una rejilla plástica para separar los frutos de las servilletas húmedas, se colocan los frutos sobre la rejilla y se cierra el contenedor</w:t>
      </w:r>
    </w:p>
    <w:p w:rsidR="00000000" w:rsidDel="00000000" w:rsidP="00000000" w:rsidRDefault="00000000" w:rsidRPr="00000000" w14:paraId="000000A6">
      <w:pPr>
        <w:spacing w:after="240" w:before="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Pr>
        <w:drawing>
          <wp:inline distB="114300" distT="114300" distL="114300" distR="114300">
            <wp:extent cx="1937385" cy="2413748"/>
            <wp:effectExtent b="0" l="0" r="0" t="0"/>
            <wp:docPr id="36" name="image6.png"/>
            <a:graphic>
              <a:graphicData uri="http://schemas.openxmlformats.org/drawingml/2006/picture">
                <pic:pic>
                  <pic:nvPicPr>
                    <pic:cNvPr id="0" name="image6.png"/>
                    <pic:cNvPicPr preferRelativeResize="0"/>
                  </pic:nvPicPr>
                  <pic:blipFill>
                    <a:blip r:embed="rId23"/>
                    <a:srcRect b="0" l="55049" r="0" t="0"/>
                    <a:stretch>
                      <a:fillRect/>
                    </a:stretch>
                  </pic:blipFill>
                  <pic:spPr>
                    <a:xfrm>
                      <a:off x="0" y="0"/>
                      <a:ext cx="1937385" cy="2413748"/>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spacing w:after="240" w:before="240" w:lineRule="auto"/>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i w:val="1"/>
          <w:sz w:val="20"/>
          <w:szCs w:val="20"/>
          <w:rtl w:val="0"/>
        </w:rPr>
        <w:t xml:space="preserve">Figura 3. Aguacates en cámara de secado</w:t>
      </w:r>
      <w:r w:rsidDel="00000000" w:rsidR="00000000" w:rsidRPr="00000000">
        <w:rPr>
          <w:rtl w:val="0"/>
        </w:rPr>
      </w:r>
    </w:p>
    <w:p w:rsidR="00000000" w:rsidDel="00000000" w:rsidP="00000000" w:rsidRDefault="00000000" w:rsidRPr="00000000" w14:paraId="000000A8">
      <w:pPr>
        <w:spacing w:after="240" w:before="240" w:lineRule="auto"/>
        <w:rPr>
          <w:rFonts w:ascii="Times New Roman" w:cs="Times New Roman" w:eastAsia="Times New Roman" w:hAnsi="Times New Roman"/>
          <w:b w:val="1"/>
          <w:sz w:val="20"/>
          <w:szCs w:val="20"/>
        </w:rPr>
      </w:pPr>
      <w:r w:rsidDel="00000000" w:rsidR="00000000" w:rsidRPr="00000000">
        <w:rPr>
          <w:rtl w:val="0"/>
        </w:rPr>
      </w:r>
    </w:p>
    <w:p w:rsidR="00000000" w:rsidDel="00000000" w:rsidP="00000000" w:rsidRDefault="00000000" w:rsidRPr="00000000" w14:paraId="000000A9">
      <w:pPr>
        <w:spacing w:after="240" w:before="240" w:lineRule="auto"/>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IX. Clasificación por calibre:</w:t>
      </w:r>
    </w:p>
    <w:p w:rsidR="00000000" w:rsidDel="00000000" w:rsidP="00000000" w:rsidRDefault="00000000" w:rsidRPr="00000000" w14:paraId="000000A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Se procede a realizar la clasificación por calibre de tal forma que queden etiquetados por su tamaño en calibres. Esto es determinado por un Calibrador, esta herramienta debe estar bien calibrada para una correcta clasificación del aguacate para su posterior separación. Esta separación se realiza tanto por tamaño como peso para determinar su calibre y, así mismo, su respectiva clasificación</w:t>
      </w:r>
    </w:p>
    <w:p w:rsidR="00000000" w:rsidDel="00000000" w:rsidP="00000000" w:rsidRDefault="00000000" w:rsidRPr="00000000" w14:paraId="000000AB">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Se puede encontrar una escala de calibre para cada variedad de aguacate, en particular para el aguacate </w:t>
      </w:r>
      <w:r w:rsidDel="00000000" w:rsidR="00000000" w:rsidRPr="00000000">
        <w:rPr>
          <w:rFonts w:ascii="Times New Roman" w:cs="Times New Roman" w:eastAsia="Times New Roman" w:hAnsi="Times New Roman"/>
          <w:i w:val="1"/>
          <w:sz w:val="20"/>
          <w:szCs w:val="20"/>
          <w:rtl w:val="0"/>
        </w:rPr>
        <w:t xml:space="preserve">Hass</w:t>
      </w:r>
      <w:r w:rsidDel="00000000" w:rsidR="00000000" w:rsidRPr="00000000">
        <w:rPr>
          <w:rFonts w:ascii="Times New Roman" w:cs="Times New Roman" w:eastAsia="Times New Roman" w:hAnsi="Times New Roman"/>
          <w:sz w:val="20"/>
          <w:szCs w:val="20"/>
          <w:rtl w:val="0"/>
        </w:rPr>
        <w:t xml:space="preserve">. La NTC 5209 establece una escala en función del peso del fruto.</w:t>
      </w:r>
    </w:p>
    <w:tbl>
      <w:tblPr>
        <w:tblStyle w:val="Table4"/>
        <w:tblW w:w="3165.0" w:type="dxa"/>
        <w:jc w:val="left"/>
        <w:tblInd w:w="274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65"/>
        <w:gridCol w:w="1800"/>
        <w:tblGridChange w:id="0">
          <w:tblGrid>
            <w:gridCol w:w="1365"/>
            <w:gridCol w:w="180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AC">
            <w:pPr>
              <w:spacing w:after="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Calibre</w:t>
            </w:r>
          </w:p>
        </w:tc>
        <w:tc>
          <w:tcPr>
            <w:tcBorders>
              <w:top w:color="000000" w:space="0" w:sz="8" w:val="single"/>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AD">
            <w:pPr>
              <w:spacing w:after="0" w:line="276"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Peso Fruto (grs.)</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AE">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AF">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364-462</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0">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1">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300-371</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2">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3">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258-313</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4">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5">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227-274</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6">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7">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203-243</w:t>
            </w:r>
          </w:p>
        </w:tc>
      </w:tr>
      <w:tr>
        <w:trPr>
          <w:cantSplit w:val="0"/>
          <w:trHeight w:val="384" w:hRule="atLeast"/>
          <w:tblHeader w:val="0"/>
        </w:trPr>
        <w:tc>
          <w:tcPr>
            <w:tcBorders>
              <w:top w:color="000000" w:space="0" w:sz="0" w:val="nil"/>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8">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9">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184-217</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A">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B">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165-196</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C">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D">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151-175</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E">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BF">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144-157</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C0">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C1">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134-147</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C2">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C3">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123-137</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C4">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32</w:t>
            </w:r>
          </w:p>
        </w:tc>
        <w:tc>
          <w:tcPr>
            <w:tcBorders>
              <w:top w:color="000000" w:space="0" w:sz="0" w:val="nil"/>
              <w:left w:color="000000" w:space="0" w:sz="0" w:val="nil"/>
              <w:bottom w:color="000000" w:space="0" w:sz="8" w:val="single"/>
              <w:right w:color="000000" w:space="0" w:sz="8" w:val="single"/>
            </w:tcBorders>
            <w:tcMar>
              <w:top w:w="100.0" w:type="dxa"/>
              <w:left w:w="80.0" w:type="dxa"/>
              <w:bottom w:w="100.0" w:type="dxa"/>
              <w:right w:w="80.0" w:type="dxa"/>
            </w:tcMar>
            <w:vAlign w:val="bottom"/>
          </w:tcPr>
          <w:p w:rsidR="00000000" w:rsidDel="00000000" w:rsidP="00000000" w:rsidRDefault="00000000" w:rsidRPr="00000000" w14:paraId="000000C5">
            <w:pPr>
              <w:spacing w:after="0" w:line="276"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80-123</w:t>
            </w:r>
          </w:p>
        </w:tc>
      </w:tr>
    </w:tbl>
    <w:p w:rsidR="00000000" w:rsidDel="00000000" w:rsidP="00000000" w:rsidRDefault="00000000" w:rsidRPr="00000000" w14:paraId="000000C6">
      <w:pPr>
        <w:spacing w:after="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i w:val="1"/>
          <w:sz w:val="20"/>
          <w:szCs w:val="20"/>
          <w:rtl w:val="0"/>
        </w:rPr>
        <w:t xml:space="preserve">Tabla 3. Clasificación por calibre según el peso.</w:t>
      </w:r>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14:paraId="000000C7">
      <w:pPr>
        <w:spacing w:after="240" w:before="240"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C8">
      <w:pPr>
        <w:spacing w:after="240" w:before="240" w:lineRule="auto"/>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X. Empaque en cajas:</w:t>
      </w:r>
    </w:p>
    <w:p w:rsidR="00000000" w:rsidDel="00000000" w:rsidP="00000000" w:rsidRDefault="00000000" w:rsidRPr="00000000" w14:paraId="000000C9">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Las cajas deben ser de cartón corrugado y deberán estar dispuestas en pallets según lo indica la Resolución ICA 1079 de 2004.El empaque debe estar rotulado y contener la siguiente información en caracteres visibles:</w:t>
      </w:r>
    </w:p>
    <w:p w:rsidR="00000000" w:rsidDel="00000000" w:rsidP="00000000" w:rsidRDefault="00000000" w:rsidRPr="00000000" w14:paraId="000000C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Identificación del productor y exportador.</w:t>
      </w:r>
    </w:p>
    <w:p w:rsidR="00000000" w:rsidDel="00000000" w:rsidP="00000000" w:rsidRDefault="00000000" w:rsidRPr="00000000" w14:paraId="000000CB">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Naturaleza del producto.</w:t>
      </w:r>
    </w:p>
    <w:p w:rsidR="00000000" w:rsidDel="00000000" w:rsidP="00000000" w:rsidRDefault="00000000" w:rsidRPr="00000000" w14:paraId="000000C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Origen del producto y región productora.</w:t>
      </w:r>
    </w:p>
    <w:p w:rsidR="00000000" w:rsidDel="00000000" w:rsidP="00000000" w:rsidRDefault="00000000" w:rsidRPr="00000000" w14:paraId="000000CD">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Características comerciales: fecha de empaque, categoría,</w:t>
      </w:r>
    </w:p>
    <w:p w:rsidR="00000000" w:rsidDel="00000000" w:rsidP="00000000" w:rsidRDefault="00000000" w:rsidRPr="00000000" w14:paraId="000000C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calibre y peso neto en el momento de empacar.</w:t>
      </w:r>
    </w:p>
    <w:p w:rsidR="00000000" w:rsidDel="00000000" w:rsidP="00000000" w:rsidRDefault="00000000" w:rsidRPr="00000000" w14:paraId="000000CF">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El contenido de cada unidad de empaque debe ser homogéneo y estar compuesto únicamente por frutos del mismo origen, variedad, categoría y calibre</w:t>
      </w:r>
    </w:p>
    <w:p w:rsidR="00000000" w:rsidDel="00000000" w:rsidP="00000000" w:rsidRDefault="00000000" w:rsidRPr="00000000" w14:paraId="000000D0">
      <w:pPr>
        <w:spacing w:after="240" w:before="240"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D1">
      <w:pPr>
        <w:spacing w:after="240" w:before="240" w:lineRule="auto"/>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XI. Almacenaje en cuarto frío</w:t>
      </w:r>
    </w:p>
    <w:p w:rsidR="00000000" w:rsidDel="00000000" w:rsidP="00000000" w:rsidRDefault="00000000" w:rsidRPr="00000000" w14:paraId="000000D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El preenfriamiento se aplica después del empacado del fruto Este proceso debe llevarse a cabo antes de haber pasado seis horas después de la cosecha o, en su defecto, procurar que la temperatura durante el transporte no supere los 26°C ni esté por debajo de los 2°C, pues se pueden causar daños por frío al fruto. Las fluctuaciones en la temperatura alteran negativamente la calidad del fruto, como se describe a continuación:</w:t>
      </w:r>
    </w:p>
    <w:p w:rsidR="00000000" w:rsidDel="00000000" w:rsidP="00000000" w:rsidRDefault="00000000" w:rsidRPr="00000000" w14:paraId="000000D3">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10 a 25° C: el fruto se ablanda conforme aumenta la temperatura de almacenamiento.</w:t>
      </w:r>
    </w:p>
    <w:p w:rsidR="00000000" w:rsidDel="00000000" w:rsidP="00000000" w:rsidRDefault="00000000" w:rsidRPr="00000000" w14:paraId="000000D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5 a 8° C: el ablandamiento es controlado y éste sólo ocurrirá si el fruto es sometido a temperaturas superiores.</w:t>
      </w:r>
    </w:p>
    <w:p w:rsidR="00000000" w:rsidDel="00000000" w:rsidP="00000000" w:rsidRDefault="00000000" w:rsidRPr="00000000" w14:paraId="000000D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0 a 4° C: el ablandamiento a estas temperaturas es limitado; sin embargo, el riesgo de daño por frío puede limitarse un poco.</w:t>
      </w:r>
    </w:p>
    <w:p w:rsidR="00000000" w:rsidDel="00000000" w:rsidP="00000000" w:rsidRDefault="00000000" w:rsidRPr="00000000" w14:paraId="000000D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El almacenamiento bajo atmósferas modificadas o controladas puede alargar la vida útil del fruto cuando se acompaña con una temperatura adecuada; para la variedad Hass se recomienda almacenar con una concentración de O2 de 2 a 10% y de CO2 de 4 a 10% por un periodo de tiempo que no supere las nueve semanas</w:t>
      </w:r>
    </w:p>
    <w:p w:rsidR="00000000" w:rsidDel="00000000" w:rsidP="00000000" w:rsidRDefault="00000000" w:rsidRPr="00000000" w14:paraId="000000D7">
      <w:pPr>
        <w:spacing w:after="240" w:before="240"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D8">
      <w:pPr>
        <w:tabs>
          <w:tab w:val="left" w:leader="none" w:pos="972"/>
        </w:tabs>
        <w:jc w:val="center"/>
        <w:rPr>
          <w:rFonts w:ascii="Times New Roman" w:cs="Times New Roman" w:eastAsia="Times New Roman" w:hAnsi="Times New Roman"/>
          <w:b w:val="1"/>
          <w:color w:val="202124"/>
          <w:sz w:val="20"/>
          <w:szCs w:val="20"/>
        </w:rPr>
      </w:pPr>
      <w:r w:rsidDel="00000000" w:rsidR="00000000" w:rsidRPr="00000000">
        <w:rPr>
          <w:rFonts w:ascii="Times New Roman" w:cs="Times New Roman" w:eastAsia="Times New Roman" w:hAnsi="Times New Roman"/>
          <w:b w:val="1"/>
          <w:color w:val="202124"/>
          <w:sz w:val="20"/>
          <w:szCs w:val="20"/>
          <w:rtl w:val="0"/>
        </w:rPr>
        <w:t xml:space="preserve">Glosario</w:t>
      </w:r>
    </w:p>
    <w:p w:rsidR="00000000" w:rsidDel="00000000" w:rsidP="00000000" w:rsidRDefault="00000000" w:rsidRPr="00000000" w14:paraId="000000D9">
      <w:pPr>
        <w:tabs>
          <w:tab w:val="left" w:leader="none" w:pos="972"/>
        </w:tabs>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Antracnosis: una enfermedad que aprovecha cualquier signo de debilidad por parte de los vegetales para poder multiplicarse y extenderse, dejando como resultado la presencia de manchas en las hojas y en los frutos, además de protuberancias en los troncos.</w:t>
      </w:r>
    </w:p>
    <w:p w:rsidR="00000000" w:rsidDel="00000000" w:rsidP="00000000" w:rsidRDefault="00000000" w:rsidRPr="00000000" w14:paraId="000000DA">
      <w:pPr>
        <w:tabs>
          <w:tab w:val="left" w:leader="none" w:pos="972"/>
        </w:tabs>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Calibre: Diámetro de un objeto cilíndrico o esférico no hueco.</w:t>
      </w:r>
    </w:p>
    <w:p w:rsidR="00000000" w:rsidDel="00000000" w:rsidP="00000000" w:rsidRDefault="00000000" w:rsidRPr="00000000" w14:paraId="000000DB">
      <w:pPr>
        <w:tabs>
          <w:tab w:val="left" w:leader="none" w:pos="972"/>
        </w:tabs>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Cadena de frío: Proceso que asegura la continuidad en el estado de congelación de productos orgánicos.</w:t>
      </w:r>
    </w:p>
    <w:p w:rsidR="00000000" w:rsidDel="00000000" w:rsidP="00000000" w:rsidRDefault="00000000" w:rsidRPr="00000000" w14:paraId="000000DC">
      <w:pPr>
        <w:tabs>
          <w:tab w:val="left" w:leader="none" w:pos="972"/>
        </w:tabs>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Cicatrices: Señal que queda en los tejidos orgánicos después de curada una herida.</w:t>
      </w:r>
    </w:p>
    <w:p w:rsidR="00000000" w:rsidDel="00000000" w:rsidP="00000000" w:rsidRDefault="00000000" w:rsidRPr="00000000" w14:paraId="000000DD">
      <w:pPr>
        <w:tabs>
          <w:tab w:val="left" w:leader="none" w:pos="972"/>
        </w:tabs>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Estado fitosanitario: Condición de salud que posee el aguacate y el cual se aprecia a simple vista por el vigor, color y turgencia de su follaje, o bien el marchitamiento ocasionado por daños inducidos, tanto físicos, antropogénicos, ambientales, o por el ataque de agentes patógenos.</w:t>
      </w:r>
    </w:p>
    <w:p w:rsidR="00000000" w:rsidDel="00000000" w:rsidP="00000000" w:rsidRDefault="00000000" w:rsidRPr="00000000" w14:paraId="000000DE">
      <w:pPr>
        <w:tabs>
          <w:tab w:val="left" w:leader="none" w:pos="972"/>
        </w:tabs>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Inocuidad: Que no hace daño.</w:t>
      </w:r>
    </w:p>
    <w:p w:rsidR="00000000" w:rsidDel="00000000" w:rsidP="00000000" w:rsidRDefault="00000000" w:rsidRPr="00000000" w14:paraId="000000DF">
      <w:pPr>
        <w:tabs>
          <w:tab w:val="left" w:leader="none" w:pos="972"/>
        </w:tabs>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Lenticelas: Formaciones con función respiratoria con forma de aberturas lenticulares, que se encuentran en la superficie de tallos, raíces y frutos.</w:t>
      </w:r>
    </w:p>
    <w:p w:rsidR="00000000" w:rsidDel="00000000" w:rsidP="00000000" w:rsidRDefault="00000000" w:rsidRPr="00000000" w14:paraId="000000E0">
      <w:pPr>
        <w:tabs>
          <w:tab w:val="left" w:leader="none" w:pos="972"/>
        </w:tabs>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Micelio blanco: El moho blanco es una enfermedad causada por el hongo Sclerotinia sclerotiorum de Bary.</w:t>
      </w:r>
    </w:p>
    <w:p w:rsidR="00000000" w:rsidDel="00000000" w:rsidP="00000000" w:rsidRDefault="00000000" w:rsidRPr="00000000" w14:paraId="000000E1">
      <w:pPr>
        <w:tabs>
          <w:tab w:val="left" w:leader="none" w:pos="972"/>
        </w:tabs>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Roña: enfermedad fúngica que se manifiesta con lesiones de apariencia corchosa y sólo se presentan en el pericarpio de los frutos sin afectar a la pulpa.</w:t>
      </w:r>
    </w:p>
    <w:p w:rsidR="00000000" w:rsidDel="00000000" w:rsidP="00000000" w:rsidRDefault="00000000" w:rsidRPr="00000000" w14:paraId="000000E2">
      <w:pPr>
        <w:tabs>
          <w:tab w:val="left" w:leader="none" w:pos="972"/>
        </w:tabs>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Pedúnculo: Tallo de una hoja, fruto o flor por el cual se une al tallo de la planta.</w:t>
      </w:r>
    </w:p>
    <w:p w:rsidR="00000000" w:rsidDel="00000000" w:rsidP="00000000" w:rsidRDefault="00000000" w:rsidRPr="00000000" w14:paraId="000000E3">
      <w:pPr>
        <w:tabs>
          <w:tab w:val="left" w:leader="none" w:pos="972"/>
        </w:tabs>
        <w:rPr>
          <w:rFonts w:ascii="Times New Roman" w:cs="Times New Roman" w:eastAsia="Times New Roman" w:hAnsi="Times New Roman"/>
          <w:color w:val="202124"/>
          <w:sz w:val="20"/>
          <w:szCs w:val="20"/>
        </w:rPr>
      </w:pPr>
      <w:r w:rsidDel="00000000" w:rsidR="00000000" w:rsidRPr="00000000">
        <w:rPr>
          <w:rFonts w:ascii="Times New Roman" w:cs="Times New Roman" w:eastAsia="Times New Roman" w:hAnsi="Times New Roman"/>
          <w:color w:val="202124"/>
          <w:sz w:val="20"/>
          <w:szCs w:val="20"/>
          <w:rtl w:val="0"/>
        </w:rPr>
        <w:t xml:space="preserve">Trazabilidad: Posibilidad de identificar el origen y las diferentes etapas de un proceso de producción y distribución de bienes de consumo.</w:t>
      </w:r>
    </w:p>
    <w:p w:rsidR="00000000" w:rsidDel="00000000" w:rsidP="00000000" w:rsidRDefault="00000000" w:rsidRPr="00000000" w14:paraId="000000E4">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E5">
      <w:pPr>
        <w:tabs>
          <w:tab w:val="left" w:leader="none" w:pos="972"/>
        </w:tabs>
        <w:rPr>
          <w:rFonts w:ascii="Times New Roman" w:cs="Times New Roman" w:eastAsia="Times New Roman" w:hAnsi="Times New Roman"/>
          <w:b w:val="1"/>
          <w:i w:val="1"/>
          <w:color w:val="202124"/>
          <w:sz w:val="20"/>
          <w:szCs w:val="20"/>
        </w:rPr>
      </w:pPr>
      <w:r w:rsidDel="00000000" w:rsidR="00000000" w:rsidRPr="00000000">
        <w:rPr>
          <w:rFonts w:ascii="Times New Roman" w:cs="Times New Roman" w:eastAsia="Times New Roman" w:hAnsi="Times New Roman"/>
          <w:i w:val="1"/>
          <w:sz w:val="20"/>
          <w:szCs w:val="20"/>
          <w:rtl w:val="0"/>
        </w:rPr>
        <w:t xml:space="preserve">Fecha de elaboración: 20/11/2022</w:t>
      </w:r>
      <w:r w:rsidDel="00000000" w:rsidR="00000000" w:rsidRPr="00000000">
        <w:rPr>
          <w:rtl w:val="0"/>
        </w:rPr>
      </w:r>
    </w:p>
    <w:p w:rsidR="00000000" w:rsidDel="00000000" w:rsidP="00000000" w:rsidRDefault="00000000" w:rsidRPr="00000000" w14:paraId="000000E6">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E7">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E8">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E9">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EA">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EB">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EC">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ED">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EE">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EF">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0">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1">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2">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3">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4">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5">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6">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7">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8">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9">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A">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B">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C">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D">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E">
      <w:pPr>
        <w:tabs>
          <w:tab w:val="left" w:leader="none" w:pos="972"/>
        </w:tabs>
        <w:rPr>
          <w:rFonts w:ascii="Times New Roman" w:cs="Times New Roman" w:eastAsia="Times New Roman" w:hAnsi="Times New Roman"/>
          <w:b w:val="1"/>
          <w:color w:val="202124"/>
          <w:sz w:val="20"/>
          <w:szCs w:val="20"/>
        </w:rPr>
      </w:pPr>
      <w:r w:rsidDel="00000000" w:rsidR="00000000" w:rsidRPr="00000000">
        <w:rPr>
          <w:rtl w:val="0"/>
        </w:rPr>
      </w:r>
    </w:p>
    <w:p w:rsidR="00000000" w:rsidDel="00000000" w:rsidP="00000000" w:rsidRDefault="00000000" w:rsidRPr="00000000" w14:paraId="000000FF">
      <w:pPr>
        <w:tabs>
          <w:tab w:val="left" w:leader="none" w:pos="972"/>
        </w:tabs>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Referencias</w:t>
      </w:r>
    </w:p>
    <w:p w:rsidR="00000000" w:rsidDel="00000000" w:rsidP="00000000" w:rsidRDefault="00000000" w:rsidRPr="00000000" w14:paraId="00000100">
      <w:pPr>
        <w:tabs>
          <w:tab w:val="left" w:leader="none" w:pos="972"/>
        </w:tabs>
        <w:spacing w:after="240" w:before="240" w:lineRule="auto"/>
        <w:rPr>
          <w:rFonts w:ascii="Times New Roman" w:cs="Times New Roman" w:eastAsia="Times New Roman" w:hAnsi="Times New Roman"/>
          <w:color w:val="1155cc"/>
          <w:sz w:val="20"/>
          <w:szCs w:val="20"/>
          <w:u w:val="single"/>
        </w:rPr>
      </w:pPr>
      <w:r w:rsidDel="00000000" w:rsidR="00000000" w:rsidRPr="00000000">
        <w:rPr>
          <w:rFonts w:ascii="Times New Roman" w:cs="Times New Roman" w:eastAsia="Times New Roman" w:hAnsi="Times New Roman"/>
          <w:sz w:val="20"/>
          <w:szCs w:val="20"/>
          <w:rtl w:val="0"/>
        </w:rPr>
        <w:t xml:space="preserve">[1] Tolima. 2017. </w:t>
      </w:r>
      <w:r w:rsidDel="00000000" w:rsidR="00000000" w:rsidRPr="00000000">
        <w:rPr>
          <w:rFonts w:ascii="Times New Roman" w:cs="Times New Roman" w:eastAsia="Times New Roman" w:hAnsi="Times New Roman"/>
          <w:i w:val="1"/>
          <w:sz w:val="20"/>
          <w:szCs w:val="20"/>
          <w:rtl w:val="0"/>
        </w:rPr>
        <w:t xml:space="preserve">Protocolo de buenas prácticas para poscosecha de aguacate Hass (Persea americana Mill) </w:t>
      </w:r>
      <w:r w:rsidDel="00000000" w:rsidR="00000000" w:rsidRPr="00000000">
        <w:rPr>
          <w:rFonts w:ascii="Times New Roman" w:cs="Times New Roman" w:eastAsia="Times New Roman" w:hAnsi="Times New Roman"/>
          <w:sz w:val="20"/>
          <w:szCs w:val="20"/>
          <w:rtl w:val="0"/>
        </w:rPr>
        <w:t xml:space="preserve">[En línea] Disponible en: </w:t>
      </w:r>
      <w:hyperlink r:id="rId24">
        <w:r w:rsidDel="00000000" w:rsidR="00000000" w:rsidRPr="00000000">
          <w:rPr>
            <w:rFonts w:ascii="Times New Roman" w:cs="Times New Roman" w:eastAsia="Times New Roman" w:hAnsi="Times New Roman"/>
            <w:color w:val="1155cc"/>
            <w:sz w:val="20"/>
            <w:szCs w:val="20"/>
            <w:u w:val="single"/>
            <w:rtl w:val="0"/>
          </w:rPr>
          <w:t xml:space="preserve">https://www.researchgate.net/profile/Jhusty-Moreno-Henao/publication/340996756_Buenas_Practicas_Poscosecha_Aguacate_Persea_americana_Mill/links/5ea8eaa6299bf18b95845078/Buenas-Practicas-Poscosecha-Aguacate-Persea-americana-Mill.pdf</w:t>
        </w:r>
      </w:hyperlink>
      <w:r w:rsidDel="00000000" w:rsidR="00000000" w:rsidRPr="00000000">
        <w:rPr>
          <w:rtl w:val="0"/>
        </w:rPr>
      </w:r>
    </w:p>
    <w:p w:rsidR="00000000" w:rsidDel="00000000" w:rsidP="00000000" w:rsidRDefault="00000000" w:rsidRPr="00000000" w14:paraId="00000101">
      <w:pPr>
        <w:tabs>
          <w:tab w:val="left" w:leader="none" w:pos="972"/>
        </w:tabs>
        <w:rPr>
          <w:rFonts w:ascii="Times New Roman" w:cs="Times New Roman" w:eastAsia="Times New Roman" w:hAnsi="Times New Roman"/>
          <w:sz w:val="20"/>
          <w:szCs w:val="20"/>
          <w:highlight w:val="white"/>
        </w:rPr>
      </w:pPr>
      <w:r w:rsidDel="00000000" w:rsidR="00000000" w:rsidRPr="00000000">
        <w:rPr>
          <w:rFonts w:ascii="Times New Roman" w:cs="Times New Roman" w:eastAsia="Times New Roman" w:hAnsi="Times New Roman"/>
          <w:sz w:val="20"/>
          <w:szCs w:val="20"/>
          <w:highlight w:val="white"/>
          <w:rtl w:val="0"/>
        </w:rPr>
        <w:t xml:space="preserve">[2] Google Books. 2022. </w:t>
      </w:r>
      <w:r w:rsidDel="00000000" w:rsidR="00000000" w:rsidRPr="00000000">
        <w:rPr>
          <w:rFonts w:ascii="Times New Roman" w:cs="Times New Roman" w:eastAsia="Times New Roman" w:hAnsi="Times New Roman"/>
          <w:i w:val="1"/>
          <w:sz w:val="20"/>
          <w:szCs w:val="20"/>
          <w:highlight w:val="white"/>
          <w:rtl w:val="0"/>
        </w:rPr>
        <w:t xml:space="preserve">Manejo fitosanitario del cultivo del aguacate Hass (Persea americana Mill) medidas para la temporada invernal</w:t>
      </w:r>
      <w:r w:rsidDel="00000000" w:rsidR="00000000" w:rsidRPr="00000000">
        <w:rPr>
          <w:rFonts w:ascii="Times New Roman" w:cs="Times New Roman" w:eastAsia="Times New Roman" w:hAnsi="Times New Roman"/>
          <w:sz w:val="20"/>
          <w:szCs w:val="20"/>
          <w:highlight w:val="white"/>
          <w:rtl w:val="0"/>
        </w:rPr>
        <w:t xml:space="preserve">. </w:t>
      </w:r>
      <w:r w:rsidDel="00000000" w:rsidR="00000000" w:rsidRPr="00000000">
        <w:rPr>
          <w:rFonts w:ascii="Times New Roman" w:cs="Times New Roman" w:eastAsia="Times New Roman" w:hAnsi="Times New Roman"/>
          <w:sz w:val="20"/>
          <w:szCs w:val="20"/>
          <w:rtl w:val="0"/>
        </w:rPr>
        <w:t xml:space="preserve">[En línea] Disponible en: </w:t>
      </w:r>
      <w:hyperlink r:id="rId25">
        <w:r w:rsidDel="00000000" w:rsidR="00000000" w:rsidRPr="00000000">
          <w:rPr>
            <w:rFonts w:ascii="Times New Roman" w:cs="Times New Roman" w:eastAsia="Times New Roman" w:hAnsi="Times New Roman"/>
            <w:color w:val="1155cc"/>
            <w:sz w:val="20"/>
            <w:szCs w:val="20"/>
            <w:highlight w:val="white"/>
            <w:u w:val="single"/>
            <w:rtl w:val="0"/>
          </w:rPr>
          <w:t xml:space="preserve">https://books.google.com/books/about/Manejo_fitosanitario_del_cultivo_del_agu.html?id=Wf31DwAAQBAJ</w:t>
        </w:r>
      </w:hyperlink>
      <w:r w:rsidDel="00000000" w:rsidR="00000000" w:rsidRPr="00000000">
        <w:rPr>
          <w:rtl w:val="0"/>
        </w:rPr>
      </w:r>
    </w:p>
    <w:p w:rsidR="00000000" w:rsidDel="00000000" w:rsidP="00000000" w:rsidRDefault="00000000" w:rsidRPr="00000000" w14:paraId="00000102">
      <w:pPr>
        <w:tabs>
          <w:tab w:val="left" w:leader="none" w:pos="972"/>
        </w:tabs>
        <w:rPr>
          <w:rFonts w:ascii="Times New Roman" w:cs="Times New Roman" w:eastAsia="Times New Roman" w:hAnsi="Times New Roman"/>
          <w:sz w:val="20"/>
          <w:szCs w:val="20"/>
          <w:highlight w:val="white"/>
        </w:rPr>
      </w:pPr>
      <w:r w:rsidDel="00000000" w:rsidR="00000000" w:rsidRPr="00000000">
        <w:rPr>
          <w:rFonts w:ascii="Times New Roman" w:cs="Times New Roman" w:eastAsia="Times New Roman" w:hAnsi="Times New Roman"/>
          <w:sz w:val="20"/>
          <w:szCs w:val="20"/>
          <w:highlight w:val="white"/>
          <w:rtl w:val="0"/>
        </w:rPr>
        <w:t xml:space="preserve">[3] Bernal (2014). </w:t>
      </w:r>
      <w:r w:rsidDel="00000000" w:rsidR="00000000" w:rsidRPr="00000000">
        <w:rPr>
          <w:rFonts w:ascii="Times New Roman" w:cs="Times New Roman" w:eastAsia="Times New Roman" w:hAnsi="Times New Roman"/>
          <w:i w:val="1"/>
          <w:sz w:val="20"/>
          <w:szCs w:val="20"/>
          <w:highlight w:val="white"/>
          <w:rtl w:val="0"/>
        </w:rPr>
        <w:t xml:space="preserve">Manual actualización tecnologica y BPA cultivo de aguacate Hass</w:t>
      </w:r>
      <w:r w:rsidDel="00000000" w:rsidR="00000000" w:rsidRPr="00000000">
        <w:rPr>
          <w:rFonts w:ascii="Times New Roman" w:cs="Times New Roman" w:eastAsia="Times New Roman" w:hAnsi="Times New Roman"/>
          <w:sz w:val="20"/>
          <w:szCs w:val="20"/>
          <w:highlight w:val="white"/>
          <w:rtl w:val="0"/>
        </w:rPr>
        <w:t xml:space="preserve"> </w:t>
      </w:r>
      <w:r w:rsidDel="00000000" w:rsidR="00000000" w:rsidRPr="00000000">
        <w:rPr>
          <w:rFonts w:ascii="Times New Roman" w:cs="Times New Roman" w:eastAsia="Times New Roman" w:hAnsi="Times New Roman"/>
          <w:sz w:val="20"/>
          <w:szCs w:val="20"/>
          <w:rtl w:val="0"/>
        </w:rPr>
        <w:t xml:space="preserve">[En línea] Disponible en: </w:t>
      </w:r>
      <w:hyperlink r:id="rId26">
        <w:r w:rsidDel="00000000" w:rsidR="00000000" w:rsidRPr="00000000">
          <w:rPr>
            <w:rFonts w:ascii="Times New Roman" w:cs="Times New Roman" w:eastAsia="Times New Roman" w:hAnsi="Times New Roman"/>
            <w:color w:val="1155cc"/>
            <w:sz w:val="20"/>
            <w:szCs w:val="20"/>
            <w:highlight w:val="white"/>
            <w:u w:val="single"/>
            <w:rtl w:val="0"/>
          </w:rPr>
          <w:t xml:space="preserve">https://xdocs.net/documents/manual-actualizacion-tecnologica-y-bpa-cultivo-de-5e0ba904965c2</w:t>
        </w:r>
      </w:hyperlink>
      <w:r w:rsidDel="00000000" w:rsidR="00000000" w:rsidRPr="00000000">
        <w:rPr>
          <w:rtl w:val="0"/>
        </w:rPr>
      </w:r>
    </w:p>
    <w:p w:rsidR="00000000" w:rsidDel="00000000" w:rsidP="00000000" w:rsidRDefault="00000000" w:rsidRPr="00000000" w14:paraId="00000103">
      <w:pPr>
        <w:tabs>
          <w:tab w:val="left" w:leader="none" w:pos="972"/>
        </w:tabs>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highlight w:val="white"/>
          <w:rtl w:val="0"/>
        </w:rPr>
        <w:t xml:space="preserve">[4] ICA (2012). Manejo fitosanitario del cultivo del aguacate Hass (Persea americana Mill)- Medidas para la temporada invernal. </w:t>
      </w:r>
      <w:r w:rsidDel="00000000" w:rsidR="00000000" w:rsidRPr="00000000">
        <w:rPr>
          <w:rFonts w:ascii="Times New Roman" w:cs="Times New Roman" w:eastAsia="Times New Roman" w:hAnsi="Times New Roman"/>
          <w:sz w:val="20"/>
          <w:szCs w:val="20"/>
          <w:rtl w:val="0"/>
        </w:rPr>
        <w:t xml:space="preserve">[En línea] Disponible en: </w:t>
      </w:r>
      <w:hyperlink r:id="rId27">
        <w:r w:rsidDel="00000000" w:rsidR="00000000" w:rsidRPr="00000000">
          <w:rPr>
            <w:rFonts w:ascii="Times New Roman" w:cs="Times New Roman" w:eastAsia="Times New Roman" w:hAnsi="Times New Roman"/>
            <w:color w:val="1155cc"/>
            <w:sz w:val="20"/>
            <w:szCs w:val="20"/>
            <w:u w:val="single"/>
            <w:rtl w:val="0"/>
          </w:rPr>
          <w:t xml:space="preserve">https://www.ica.gov.co/getattachment/4b5b9b6f-ecfc-46e1-b9ca-b35cc1cefee2/-</w:t>
        </w:r>
      </w:hyperlink>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14:paraId="00000104">
      <w:pPr>
        <w:tabs>
          <w:tab w:val="left" w:leader="none" w:pos="972"/>
        </w:tabs>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 Protocolo de almacenamiento y maduración de aguacate cv. Hass (Persea americanaMill.) en Antioquia</w:t>
      </w:r>
      <w:r w:rsidDel="00000000" w:rsidR="00000000" w:rsidRPr="00000000">
        <w:rPr>
          <w:rFonts w:ascii="Times New Roman" w:cs="Times New Roman" w:eastAsia="Times New Roman" w:hAnsi="Times New Roman"/>
          <w:sz w:val="20"/>
          <w:szCs w:val="20"/>
          <w:highlight w:val="white"/>
          <w:rtl w:val="0"/>
        </w:rPr>
        <w:t xml:space="preserve">. </w:t>
      </w:r>
      <w:r w:rsidDel="00000000" w:rsidR="00000000" w:rsidRPr="00000000">
        <w:rPr>
          <w:rFonts w:ascii="Times New Roman" w:cs="Times New Roman" w:eastAsia="Times New Roman" w:hAnsi="Times New Roman"/>
          <w:sz w:val="20"/>
          <w:szCs w:val="20"/>
          <w:rtl w:val="0"/>
        </w:rPr>
        <w:t xml:space="preserve">[En línea] Disponible en: </w:t>
      </w:r>
      <w:hyperlink r:id="rId28">
        <w:r w:rsidDel="00000000" w:rsidR="00000000" w:rsidRPr="00000000">
          <w:rPr>
            <w:rFonts w:ascii="Times New Roman" w:cs="Times New Roman" w:eastAsia="Times New Roman" w:hAnsi="Times New Roman"/>
            <w:color w:val="1155cc"/>
            <w:sz w:val="20"/>
            <w:szCs w:val="20"/>
            <w:u w:val="single"/>
            <w:rtl w:val="0"/>
          </w:rPr>
          <w:t xml:space="preserve">https://editorial.agrosavia.co/index.php/publicaciones/catalog/view/74/61/685-1</w:t>
        </w:r>
      </w:hyperlink>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14:paraId="00000105">
      <w:pPr>
        <w:tabs>
          <w:tab w:val="left" w:leader="none" w:pos="972"/>
        </w:tabs>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 Terravocado Seguir, “Norma Aguacate Hass - ICONTEC,” </w:t>
      </w:r>
      <w:r w:rsidDel="00000000" w:rsidR="00000000" w:rsidRPr="00000000">
        <w:rPr>
          <w:rFonts w:ascii="Times New Roman" w:cs="Times New Roman" w:eastAsia="Times New Roman" w:hAnsi="Times New Roman"/>
          <w:i w:val="1"/>
          <w:sz w:val="20"/>
          <w:szCs w:val="20"/>
          <w:rtl w:val="0"/>
        </w:rPr>
        <w:t xml:space="preserve">Share and Discover Knowledge on SlideShare</w:t>
      </w:r>
      <w:r w:rsidDel="00000000" w:rsidR="00000000" w:rsidRPr="00000000">
        <w:rPr>
          <w:rFonts w:ascii="Times New Roman" w:cs="Times New Roman" w:eastAsia="Times New Roman" w:hAnsi="Times New Roman"/>
          <w:sz w:val="20"/>
          <w:szCs w:val="20"/>
          <w:rtl w:val="0"/>
        </w:rPr>
        <w:t xml:space="preserve">. [Online]. Available: </w:t>
      </w:r>
      <w:hyperlink r:id="rId29">
        <w:r w:rsidDel="00000000" w:rsidR="00000000" w:rsidRPr="00000000">
          <w:rPr>
            <w:rFonts w:ascii="Times New Roman" w:cs="Times New Roman" w:eastAsia="Times New Roman" w:hAnsi="Times New Roman"/>
            <w:color w:val="1155cc"/>
            <w:sz w:val="20"/>
            <w:szCs w:val="20"/>
            <w:u w:val="single"/>
            <w:rtl w:val="0"/>
          </w:rPr>
          <w:t xml:space="preserve">https://es.slideshare.net/grupoterravocado/norma-aguacate-hass-icontec</w:t>
        </w:r>
      </w:hyperlink>
      <w:r w:rsidDel="00000000" w:rsidR="00000000" w:rsidRPr="00000000">
        <w:rPr>
          <w:rFonts w:ascii="Times New Roman" w:cs="Times New Roman" w:eastAsia="Times New Roman" w:hAnsi="Times New Roman"/>
          <w:sz w:val="20"/>
          <w:szCs w:val="20"/>
          <w:rtl w:val="0"/>
        </w:rPr>
        <w:t xml:space="preserve">.</w:t>
      </w:r>
    </w:p>
    <w:p w:rsidR="00000000" w:rsidDel="00000000" w:rsidP="00000000" w:rsidRDefault="00000000" w:rsidRPr="00000000" w14:paraId="00000106">
      <w:pPr>
        <w:tabs>
          <w:tab w:val="left" w:leader="none" w:pos="972"/>
        </w:tabs>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107">
      <w:pPr>
        <w:tabs>
          <w:tab w:val="left" w:leader="none" w:pos="972"/>
        </w:tabs>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108">
      <w:pPr>
        <w:tabs>
          <w:tab w:val="left" w:leader="none" w:pos="972"/>
        </w:tabs>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109">
      <w:pPr>
        <w:tabs>
          <w:tab w:val="left" w:leader="none" w:pos="972"/>
        </w:tabs>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10A">
      <w:pPr>
        <w:tabs>
          <w:tab w:val="left" w:leader="none" w:pos="972"/>
        </w:tabs>
        <w:rPr>
          <w:rFonts w:ascii="Times New Roman" w:cs="Times New Roman" w:eastAsia="Times New Roman" w:hAnsi="Times New Roman"/>
          <w:sz w:val="20"/>
          <w:szCs w:val="20"/>
          <w:highlight w:val="white"/>
        </w:rPr>
      </w:pPr>
      <w:r w:rsidDel="00000000" w:rsidR="00000000" w:rsidRPr="00000000">
        <w:rPr>
          <w:rtl w:val="0"/>
        </w:rPr>
      </w:r>
    </w:p>
    <w:p w:rsidR="00000000" w:rsidDel="00000000" w:rsidP="00000000" w:rsidRDefault="00000000" w:rsidRPr="00000000" w14:paraId="0000010B">
      <w:pPr>
        <w:tabs>
          <w:tab w:val="left" w:leader="none" w:pos="972"/>
        </w:tabs>
        <w:rPr>
          <w:rFonts w:ascii="Times New Roman" w:cs="Times New Roman" w:eastAsia="Times New Roman" w:hAnsi="Times New Roman"/>
          <w:b w:val="1"/>
          <w:sz w:val="20"/>
          <w:szCs w:val="20"/>
          <w:highlight w:val="white"/>
        </w:rPr>
      </w:pPr>
      <w:r w:rsidDel="00000000" w:rsidR="00000000" w:rsidRPr="00000000">
        <w:rPr>
          <w:rtl w:val="0"/>
        </w:rPr>
      </w:r>
    </w:p>
    <w:sectPr>
      <w:footerReference r:id="rId30"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C">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CO"/>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Ttulo1">
    <w:name w:val="heading 1"/>
    <w:basedOn w:val="Normal"/>
    <w:next w:val="Normal"/>
    <w:uiPriority w:val="9"/>
    <w:qFormat w:val="1"/>
    <w:pPr>
      <w:keepNext w:val="1"/>
      <w:keepLines w:val="1"/>
      <w:spacing w:after="120" w:before="480"/>
      <w:outlineLvl w:val="0"/>
    </w:pPr>
    <w:rPr>
      <w:b w:val="1"/>
      <w:sz w:val="48"/>
      <w:szCs w:val="48"/>
    </w:rPr>
  </w:style>
  <w:style w:type="paragraph" w:styleId="Ttulo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Ttulo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Ttulo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Ttulo5">
    <w:name w:val="heading 5"/>
    <w:basedOn w:val="Normal"/>
    <w:next w:val="Normal"/>
    <w:uiPriority w:val="9"/>
    <w:semiHidden w:val="1"/>
    <w:unhideWhenUsed w:val="1"/>
    <w:qFormat w:val="1"/>
    <w:pPr>
      <w:keepNext w:val="1"/>
      <w:keepLines w:val="1"/>
      <w:spacing w:after="40" w:before="220"/>
      <w:outlineLvl w:val="4"/>
    </w:pPr>
    <w:rPr>
      <w:b w:val="1"/>
    </w:rPr>
  </w:style>
  <w:style w:type="paragraph" w:styleId="Ttulo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top w:w="100.0" w:type="dxa"/>
        <w:left w:w="100.0" w:type="dxa"/>
        <w:bottom w:w="100.0" w:type="dxa"/>
        <w:right w:w="100.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table" w:styleId="a1" w:customStyle="1">
    <w:basedOn w:val="TableNormal"/>
    <w:tblPr>
      <w:tblStyleRowBandSize w:val="1"/>
      <w:tblStyleColBandSize w:val="1"/>
      <w:tblCellMar>
        <w:left w:w="70.0" w:type="dxa"/>
        <w:right w:w="70.0" w:type="dxa"/>
      </w:tblCellMar>
    </w:tblPr>
  </w:style>
  <w:style w:type="table" w:styleId="a2" w:customSty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22" Type="http://schemas.openxmlformats.org/officeDocument/2006/relationships/image" Target="media/image3.png"/><Relationship Id="rId21" Type="http://schemas.openxmlformats.org/officeDocument/2006/relationships/image" Target="media/image2.png"/><Relationship Id="rId24" Type="http://schemas.openxmlformats.org/officeDocument/2006/relationships/hyperlink" Target="https://www.researchgate.net/profile/Jhusty-Moreno-Henao/publication/340996756_Buenas_Practicas_Poscosecha_Aguacate_Persea_americana_Mill/links/5ea8eaa6299bf18b95845078/Buenas-Practicas-Poscosecha-Aguacate-Persea-americana-Mill.pdf" TargetMode="External"/><Relationship Id="rId23"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png"/><Relationship Id="rId26" Type="http://schemas.openxmlformats.org/officeDocument/2006/relationships/hyperlink" Target="https://xdocs.net/documents/manual-actualizacion-tecnologica-y-bpa-cultivo-de-5e0ba904965c2" TargetMode="External"/><Relationship Id="rId25" Type="http://schemas.openxmlformats.org/officeDocument/2006/relationships/hyperlink" Target="https://books.google.com/books/about/Manejo_fitosanitario_del_cultivo_del_agu.html?id=Wf31DwAAQBAJ" TargetMode="External"/><Relationship Id="rId28" Type="http://schemas.openxmlformats.org/officeDocument/2006/relationships/hyperlink" Target="https://editorial.agrosavia.co/index.php/publicaciones/catalog/view/74/61/685-1" TargetMode="External"/><Relationship Id="rId27" Type="http://schemas.openxmlformats.org/officeDocument/2006/relationships/hyperlink" Target="https://www.ica.gov.co/getattachment/4b5b9b6f-ecfc-46e1-b9ca-b35cc1cefee2/-"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es.slideshare.net/grupoterravocado/norma-aguacate-hass-icontec" TargetMode="External"/><Relationship Id="rId7" Type="http://schemas.openxmlformats.org/officeDocument/2006/relationships/image" Target="media/image7.png"/><Relationship Id="rId8" Type="http://schemas.openxmlformats.org/officeDocument/2006/relationships/image" Target="media/image11.png"/><Relationship Id="rId30" Type="http://schemas.openxmlformats.org/officeDocument/2006/relationships/footer" Target="footer1.xml"/><Relationship Id="rId11" Type="http://schemas.openxmlformats.org/officeDocument/2006/relationships/image" Target="media/image4.png"/><Relationship Id="rId10" Type="http://schemas.openxmlformats.org/officeDocument/2006/relationships/image" Target="media/image8.png"/><Relationship Id="rId13" Type="http://schemas.openxmlformats.org/officeDocument/2006/relationships/image" Target="media/image14.png"/><Relationship Id="rId12" Type="http://schemas.openxmlformats.org/officeDocument/2006/relationships/image" Target="media/image13.png"/><Relationship Id="rId15" Type="http://schemas.openxmlformats.org/officeDocument/2006/relationships/image" Target="media/image5.png"/><Relationship Id="rId14" Type="http://schemas.openxmlformats.org/officeDocument/2006/relationships/image" Target="media/image15.png"/><Relationship Id="rId17" Type="http://schemas.openxmlformats.org/officeDocument/2006/relationships/image" Target="media/image9.png"/><Relationship Id="rId16" Type="http://schemas.openxmlformats.org/officeDocument/2006/relationships/image" Target="media/image17.png"/><Relationship Id="rId19" Type="http://schemas.openxmlformats.org/officeDocument/2006/relationships/image" Target="media/image16.png"/><Relationship Id="rId18"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8Eu4WeVtdZFTihO5V4bVEcWiUzg==">AMUW2mV+Q1zxmw2zoDelPSHm7soOg0u+tckuQ0DnC9hUFptV3JFzrCUSGrxyt0HZC/8KGpRhpH75E72/UmM2PlQo1UO+NG/UvmqLd7Cd8tdL7Mdl0cos0Rs=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2022-10-12T12:48:00Z</dcterms:created>
  <dc:creator>Alejandra Boya</dc:creator>
</cp:coreProperties>
</file>